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0441A41B"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09725D">
        <w:rPr>
          <w:rFonts w:ascii="Arial" w:eastAsia="MS Mincho" w:hAnsi="Arial"/>
          <w:b/>
          <w:sz w:val="24"/>
          <w:szCs w:val="24"/>
          <w:lang w:val="en-GB" w:eastAsia="x-none"/>
        </w:rPr>
        <w:t>1</w:t>
      </w:r>
      <w:r w:rsidR="00523716">
        <w:rPr>
          <w:rFonts w:ascii="Arial" w:eastAsia="MS Mincho" w:hAnsi="Arial"/>
          <w:b/>
          <w:sz w:val="24"/>
          <w:szCs w:val="24"/>
          <w:lang w:val="en-GB" w:eastAsia="x-none"/>
        </w:rPr>
        <w:t>9</w:t>
      </w:r>
      <w:r w:rsidR="000F71CB">
        <w:rPr>
          <w:rFonts w:ascii="Arial" w:eastAsia="MS Mincho" w:hAnsi="Arial"/>
          <w:b/>
          <w:sz w:val="24"/>
          <w:szCs w:val="24"/>
          <w:lang w:val="en-GB" w:eastAsia="x-none"/>
        </w:rPr>
        <w:t>bis</w:t>
      </w:r>
      <w:r w:rsidR="00D81461">
        <w:rPr>
          <w:rFonts w:ascii="Arial" w:eastAsia="MS Mincho" w:hAnsi="Arial"/>
          <w:b/>
          <w:sz w:val="24"/>
          <w:szCs w:val="24"/>
          <w:lang w:val="en-GB" w:eastAsia="x-none"/>
        </w:rPr>
        <w:t>-</w:t>
      </w:r>
      <w:r w:rsidR="005315A3">
        <w:rPr>
          <w:rFonts w:ascii="Arial" w:eastAsia="MS Mincho" w:hAnsi="Arial"/>
          <w:b/>
          <w:sz w:val="24"/>
          <w:szCs w:val="24"/>
          <w:lang w:val="en-GB" w:eastAsia="x-none"/>
        </w:rPr>
        <w:t>e</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2365DC">
        <w:rPr>
          <w:rFonts w:ascii="Arial" w:eastAsia="MS Mincho" w:hAnsi="Arial"/>
          <w:b/>
          <w:sz w:val="24"/>
          <w:szCs w:val="24"/>
          <w:lang w:val="en-GB" w:eastAsia="x-none"/>
        </w:rPr>
        <w:t>2</w:t>
      </w:r>
      <w:r w:rsidR="00A35AB5">
        <w:rPr>
          <w:rFonts w:ascii="Arial" w:eastAsia="MS Mincho" w:hAnsi="Arial"/>
          <w:b/>
          <w:sz w:val="24"/>
          <w:szCs w:val="24"/>
          <w:lang w:val="en-GB" w:eastAsia="x-none"/>
        </w:rPr>
        <w:t>0</w:t>
      </w:r>
      <w:r w:rsidR="000122EA">
        <w:rPr>
          <w:rFonts w:ascii="Arial" w:eastAsia="MS Mincho" w:hAnsi="Arial"/>
          <w:b/>
          <w:sz w:val="24"/>
          <w:szCs w:val="24"/>
          <w:lang w:val="en-GB" w:eastAsia="x-none"/>
        </w:rPr>
        <w:t>9414</w:t>
      </w:r>
    </w:p>
    <w:p w14:paraId="6F9F5433" w14:textId="3A436BB6" w:rsidR="004C7FF5" w:rsidRPr="004C7FF5" w:rsidRDefault="0076288E"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sidR="00376BEC">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E91671">
        <w:rPr>
          <w:rFonts w:ascii="Arial" w:eastAsia="MS Mincho" w:hAnsi="Arial"/>
          <w:b/>
          <w:sz w:val="24"/>
          <w:szCs w:val="24"/>
          <w:lang w:val="en-GB" w:eastAsia="x-none"/>
        </w:rPr>
        <w:t>October</w:t>
      </w:r>
      <w:r w:rsidRPr="0076288E">
        <w:rPr>
          <w:rFonts w:ascii="Arial" w:eastAsia="MS Mincho" w:hAnsi="Arial"/>
          <w:b/>
          <w:sz w:val="24"/>
          <w:szCs w:val="24"/>
          <w:lang w:val="en-GB" w:eastAsia="x-none"/>
        </w:rPr>
        <w:t xml:space="preserve"> </w:t>
      </w:r>
      <w:r w:rsidR="008C56FB">
        <w:rPr>
          <w:rFonts w:ascii="Arial" w:eastAsia="MS Mincho" w:hAnsi="Arial"/>
          <w:b/>
          <w:sz w:val="24"/>
          <w:szCs w:val="24"/>
          <w:lang w:val="en-GB" w:eastAsia="x-none"/>
        </w:rPr>
        <w:t>1</w:t>
      </w:r>
      <w:r w:rsidR="00E91671">
        <w:rPr>
          <w:rFonts w:ascii="Arial" w:eastAsia="MS Mincho" w:hAnsi="Arial"/>
          <w:b/>
          <w:sz w:val="24"/>
          <w:szCs w:val="24"/>
          <w:lang w:val="en-GB" w:eastAsia="x-none"/>
        </w:rPr>
        <w:t>0</w:t>
      </w:r>
      <w:r w:rsidRPr="0076288E">
        <w:rPr>
          <w:rFonts w:ascii="Arial" w:eastAsia="MS Mincho" w:hAnsi="Arial"/>
          <w:b/>
          <w:sz w:val="24"/>
          <w:szCs w:val="24"/>
          <w:lang w:val="en-GB" w:eastAsia="x-none"/>
        </w:rPr>
        <w:t xml:space="preserve"> –</w:t>
      </w:r>
      <w:r w:rsidR="00F40F2E">
        <w:rPr>
          <w:rFonts w:ascii="Arial" w:eastAsia="MS Mincho" w:hAnsi="Arial"/>
          <w:b/>
          <w:sz w:val="24"/>
          <w:szCs w:val="24"/>
          <w:lang w:val="en-GB" w:eastAsia="x-none"/>
        </w:rPr>
        <w:t xml:space="preserve"> </w:t>
      </w:r>
      <w:r w:rsidR="00E91671">
        <w:rPr>
          <w:rFonts w:ascii="Arial" w:eastAsia="MS Mincho" w:hAnsi="Arial"/>
          <w:b/>
          <w:sz w:val="24"/>
          <w:szCs w:val="24"/>
          <w:lang w:val="en-GB" w:eastAsia="x-none"/>
        </w:rPr>
        <w:t>October</w:t>
      </w:r>
      <w:r w:rsidR="00527CC5">
        <w:rPr>
          <w:rFonts w:ascii="Arial" w:eastAsia="MS Mincho" w:hAnsi="Arial"/>
          <w:b/>
          <w:sz w:val="24"/>
          <w:szCs w:val="24"/>
          <w:lang w:val="en-GB" w:eastAsia="x-none"/>
        </w:rPr>
        <w:t xml:space="preserve"> </w:t>
      </w:r>
      <w:r w:rsidR="00E91671">
        <w:rPr>
          <w:rFonts w:ascii="Arial" w:eastAsia="MS Mincho" w:hAnsi="Arial"/>
          <w:b/>
          <w:sz w:val="24"/>
          <w:szCs w:val="24"/>
          <w:lang w:val="en-GB" w:eastAsia="x-none"/>
        </w:rPr>
        <w:t>19</w:t>
      </w:r>
      <w:r w:rsidRPr="0076288E">
        <w:rPr>
          <w:rFonts w:ascii="Arial" w:eastAsia="MS Mincho" w:hAnsi="Arial"/>
          <w:b/>
          <w:sz w:val="24"/>
          <w:szCs w:val="24"/>
          <w:lang w:val="en-GB" w:eastAsia="x-none"/>
        </w:rPr>
        <w:t>, 202</w:t>
      </w:r>
      <w:r w:rsidR="002365DC">
        <w:rPr>
          <w:rFonts w:ascii="Arial" w:eastAsia="MS Mincho" w:hAnsi="Arial"/>
          <w:b/>
          <w:sz w:val="24"/>
          <w:szCs w:val="24"/>
          <w:lang w:val="en-GB" w:eastAsia="x-none"/>
        </w:rPr>
        <w:t>2</w:t>
      </w:r>
      <w:r w:rsidR="006A2EE1">
        <w:rPr>
          <w:rFonts w:ascii="Arial" w:eastAsia="MS Mincho" w:hAnsi="Arial"/>
          <w:b/>
          <w:sz w:val="24"/>
          <w:szCs w:val="24"/>
          <w:lang w:val="en-GB" w:eastAsia="x-none"/>
        </w:rPr>
        <w:t xml:space="preserve">                    </w:t>
      </w:r>
      <w:r w:rsidR="0028164D">
        <w:rPr>
          <w:rFonts w:ascii="Arial" w:eastAsia="MS Mincho" w:hAnsi="Arial"/>
          <w:b/>
          <w:sz w:val="24"/>
          <w:szCs w:val="24"/>
          <w:lang w:val="en-GB" w:eastAsia="x-none"/>
        </w:rPr>
        <w:t xml:space="preserve">    </w:t>
      </w:r>
      <w:r w:rsidR="00376BEC">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50888576"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8769A1">
        <w:rPr>
          <w:rFonts w:ascii="Arial" w:hAnsi="Arial" w:cs="Arial"/>
          <w:b/>
          <w:bCs/>
          <w:sz w:val="24"/>
          <w:szCs w:val="20"/>
        </w:rPr>
        <w:t>8</w:t>
      </w:r>
      <w:r w:rsidR="004B1878" w:rsidRPr="004B1878">
        <w:rPr>
          <w:rFonts w:ascii="Arial" w:hAnsi="Arial" w:cs="Arial"/>
          <w:b/>
          <w:bCs/>
          <w:sz w:val="24"/>
          <w:szCs w:val="20"/>
        </w:rPr>
        <w:t>.</w:t>
      </w:r>
      <w:r w:rsidR="003E3ECA">
        <w:rPr>
          <w:rFonts w:ascii="Arial" w:hAnsi="Arial" w:cs="Arial"/>
          <w:b/>
          <w:bCs/>
          <w:sz w:val="24"/>
          <w:szCs w:val="20"/>
        </w:rPr>
        <w:t>5</w:t>
      </w:r>
      <w:r w:rsidR="00523716">
        <w:rPr>
          <w:rFonts w:ascii="Arial" w:hAnsi="Arial" w:cs="Arial"/>
          <w:b/>
          <w:bCs/>
          <w:sz w:val="24"/>
          <w:szCs w:val="20"/>
        </w:rPr>
        <w:t>.</w:t>
      </w:r>
      <w:r w:rsidR="003E3ECA">
        <w:rPr>
          <w:rFonts w:ascii="Arial" w:hAnsi="Arial" w:cs="Arial"/>
          <w:b/>
          <w:bCs/>
          <w:sz w:val="24"/>
          <w:szCs w:val="20"/>
        </w:rPr>
        <w:t>2.1</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2741D4AC"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E4EAA">
        <w:rPr>
          <w:rFonts w:ascii="Arial" w:hAnsi="Arial" w:cs="Arial"/>
          <w:b/>
          <w:bCs/>
          <w:sz w:val="24"/>
          <w:szCs w:val="20"/>
        </w:rPr>
        <w:t>O</w:t>
      </w:r>
      <w:r w:rsidR="00523716" w:rsidRPr="00523716">
        <w:rPr>
          <w:rFonts w:ascii="Arial" w:hAnsi="Arial" w:cs="Arial"/>
          <w:b/>
          <w:bCs/>
          <w:sz w:val="24"/>
          <w:szCs w:val="20"/>
        </w:rPr>
        <w:t>n</w:t>
      </w:r>
      <w:r w:rsidR="002A662D">
        <w:rPr>
          <w:rFonts w:ascii="Arial" w:hAnsi="Arial" w:cs="Arial"/>
          <w:b/>
          <w:bCs/>
          <w:sz w:val="24"/>
          <w:szCs w:val="20"/>
        </w:rPr>
        <w:t xml:space="preserve"> </w:t>
      </w:r>
      <w:r w:rsidR="00565477">
        <w:rPr>
          <w:rFonts w:ascii="Arial" w:hAnsi="Arial" w:cs="Arial"/>
          <w:b/>
          <w:bCs/>
          <w:sz w:val="24"/>
          <w:szCs w:val="20"/>
        </w:rPr>
        <w:t>m</w:t>
      </w:r>
      <w:r w:rsidR="00912F56">
        <w:rPr>
          <w:rFonts w:ascii="Arial" w:hAnsi="Arial" w:cs="Arial"/>
          <w:b/>
          <w:bCs/>
          <w:sz w:val="24"/>
          <w:szCs w:val="20"/>
        </w:rPr>
        <w:t xml:space="preserve">apping </w:t>
      </w:r>
      <w:r w:rsidR="003E3ECA">
        <w:rPr>
          <w:rFonts w:ascii="Arial" w:hAnsi="Arial" w:cs="Arial"/>
          <w:b/>
          <w:bCs/>
          <w:sz w:val="24"/>
          <w:szCs w:val="20"/>
        </w:rPr>
        <w:t>PDU Sets</w:t>
      </w:r>
      <w:r w:rsidR="001611EA">
        <w:rPr>
          <w:rFonts w:ascii="Arial" w:hAnsi="Arial" w:cs="Arial"/>
          <w:b/>
          <w:bCs/>
          <w:sz w:val="24"/>
          <w:szCs w:val="20"/>
        </w:rPr>
        <w:t xml:space="preserve"> for XR</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4A9BA787"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483AA6C8" w14:textId="1E686CBF" w:rsidR="00834301" w:rsidRPr="00834301" w:rsidRDefault="003E3ECA" w:rsidP="00834301">
      <w:pPr>
        <w:jc w:val="left"/>
        <w:rPr>
          <w:sz w:val="20"/>
          <w:szCs w:val="20"/>
        </w:rPr>
      </w:pPr>
      <w:r>
        <w:rPr>
          <w:sz w:val="20"/>
          <w:szCs w:val="20"/>
        </w:rPr>
        <w:t>In</w:t>
      </w:r>
      <w:r w:rsidR="00834301">
        <w:rPr>
          <w:sz w:val="20"/>
          <w:szCs w:val="20"/>
        </w:rPr>
        <w:t xml:space="preserve"> [1]</w:t>
      </w:r>
      <w:r>
        <w:rPr>
          <w:sz w:val="20"/>
          <w:szCs w:val="20"/>
        </w:rPr>
        <w:t>, which was discussed during SA2 teleconference call on September 22</w:t>
      </w:r>
      <w:r w:rsidRPr="003E3ECA">
        <w:rPr>
          <w:sz w:val="20"/>
          <w:szCs w:val="20"/>
          <w:vertAlign w:val="superscript"/>
        </w:rPr>
        <w:t>nd</w:t>
      </w:r>
      <w:r>
        <w:rPr>
          <w:sz w:val="20"/>
          <w:szCs w:val="20"/>
        </w:rPr>
        <w:t xml:space="preserve">, 2022, </w:t>
      </w:r>
      <w:r w:rsidR="00834301">
        <w:rPr>
          <w:sz w:val="20"/>
          <w:szCs w:val="20"/>
        </w:rPr>
        <w:t>SA2</w:t>
      </w:r>
      <w:r>
        <w:rPr>
          <w:sz w:val="20"/>
          <w:szCs w:val="20"/>
        </w:rPr>
        <w:t xml:space="preserve"> rapporteur summarizes three options for delivering PDU Set importance information to RAN</w:t>
      </w:r>
      <w:r w:rsidR="00834301">
        <w:rPr>
          <w:sz w:val="20"/>
          <w:szCs w:val="20"/>
        </w:rPr>
        <w:t>, as follows:</w:t>
      </w:r>
    </w:p>
    <w:p w14:paraId="6E01FFCD" w14:textId="14DEF3C6" w:rsidR="003E3ECA" w:rsidRPr="00834301" w:rsidRDefault="003E3ECA" w:rsidP="00834301">
      <w:pPr>
        <w:pStyle w:val="Heading3"/>
        <w:numPr>
          <w:ilvl w:val="0"/>
          <w:numId w:val="0"/>
        </w:numPr>
        <w:ind w:left="420"/>
        <w:rPr>
          <w:sz w:val="20"/>
          <w:szCs w:val="20"/>
        </w:rPr>
      </w:pPr>
      <w:r w:rsidRPr="00834301">
        <w:rPr>
          <w:sz w:val="20"/>
          <w:szCs w:val="20"/>
        </w:rPr>
        <w:t>Q2. How to deliver PDU Set importance information to RAN:</w:t>
      </w:r>
    </w:p>
    <w:p w14:paraId="5DBF4CFD" w14:textId="77777777" w:rsidR="003E3ECA" w:rsidRPr="00834301" w:rsidRDefault="003E3ECA" w:rsidP="00834301">
      <w:pPr>
        <w:pStyle w:val="ListParagraph"/>
        <w:numPr>
          <w:ilvl w:val="0"/>
          <w:numId w:val="10"/>
        </w:numPr>
        <w:overflowPunct w:val="0"/>
        <w:autoSpaceDE w:val="0"/>
        <w:autoSpaceDN w:val="0"/>
        <w:adjustRightInd w:val="0"/>
        <w:spacing w:after="180" w:line="240" w:lineRule="auto"/>
        <w:ind w:left="840"/>
        <w:contextualSpacing w:val="0"/>
        <w:jc w:val="both"/>
        <w:textAlignment w:val="baseline"/>
        <w:rPr>
          <w:rFonts w:eastAsiaTheme="minorEastAsia"/>
          <w:sz w:val="20"/>
          <w:szCs w:val="20"/>
          <w:lang w:eastAsia="zh-CN"/>
        </w:rPr>
      </w:pPr>
      <w:r w:rsidRPr="00834301">
        <w:rPr>
          <w:rFonts w:eastAsiaTheme="minorEastAsia"/>
          <w:sz w:val="20"/>
          <w:szCs w:val="20"/>
          <w:lang w:eastAsia="zh-CN"/>
        </w:rPr>
        <w:t xml:space="preserve">Option 1: use different QoS Flows with different priority level. </w:t>
      </w:r>
      <w:r w:rsidRPr="00834301">
        <w:rPr>
          <w:sz w:val="20"/>
          <w:szCs w:val="20"/>
          <w:lang w:val="en-US"/>
        </w:rPr>
        <w:t>PDU Set importance</w:t>
      </w:r>
      <w:r w:rsidRPr="00834301">
        <w:rPr>
          <w:rFonts w:eastAsiaTheme="minorEastAsia"/>
          <w:sz w:val="20"/>
          <w:szCs w:val="20"/>
          <w:lang w:eastAsia="zh-CN"/>
        </w:rPr>
        <w:t xml:space="preserve"> is mapped to existing QoS flow priority.</w:t>
      </w:r>
    </w:p>
    <w:p w14:paraId="0EF966F2" w14:textId="77777777" w:rsidR="003E3ECA" w:rsidRPr="00834301" w:rsidRDefault="003E3ECA" w:rsidP="00834301">
      <w:pPr>
        <w:pStyle w:val="ListParagraph"/>
        <w:numPr>
          <w:ilvl w:val="0"/>
          <w:numId w:val="10"/>
        </w:numPr>
        <w:overflowPunct w:val="0"/>
        <w:autoSpaceDE w:val="0"/>
        <w:autoSpaceDN w:val="0"/>
        <w:adjustRightInd w:val="0"/>
        <w:spacing w:after="180" w:line="240" w:lineRule="auto"/>
        <w:ind w:left="840"/>
        <w:contextualSpacing w:val="0"/>
        <w:jc w:val="both"/>
        <w:textAlignment w:val="baseline"/>
        <w:rPr>
          <w:rFonts w:eastAsiaTheme="minorEastAsia"/>
          <w:sz w:val="20"/>
          <w:szCs w:val="20"/>
          <w:lang w:eastAsia="zh-CN"/>
        </w:rPr>
      </w:pPr>
      <w:r w:rsidRPr="00834301">
        <w:rPr>
          <w:rFonts w:eastAsiaTheme="minorEastAsia"/>
          <w:sz w:val="20"/>
          <w:szCs w:val="20"/>
          <w:lang w:eastAsia="zh-CN"/>
        </w:rPr>
        <w:t>Option 2: use one QoS flow for different PDU Set with different priority level</w:t>
      </w:r>
    </w:p>
    <w:p w14:paraId="10EF0E02" w14:textId="77777777" w:rsidR="003E3ECA" w:rsidRPr="00834301" w:rsidRDefault="003E3ECA" w:rsidP="00834301">
      <w:pPr>
        <w:pStyle w:val="ListParagraph"/>
        <w:numPr>
          <w:ilvl w:val="1"/>
          <w:numId w:val="10"/>
        </w:numPr>
        <w:overflowPunct w:val="0"/>
        <w:autoSpaceDE w:val="0"/>
        <w:autoSpaceDN w:val="0"/>
        <w:adjustRightInd w:val="0"/>
        <w:spacing w:after="180" w:line="240" w:lineRule="auto"/>
        <w:ind w:left="1260"/>
        <w:contextualSpacing w:val="0"/>
        <w:jc w:val="both"/>
        <w:textAlignment w:val="baseline"/>
        <w:rPr>
          <w:rFonts w:eastAsiaTheme="minorEastAsia"/>
          <w:sz w:val="20"/>
          <w:szCs w:val="20"/>
          <w:lang w:eastAsia="zh-CN"/>
        </w:rPr>
      </w:pPr>
      <w:r w:rsidRPr="00834301">
        <w:rPr>
          <w:rFonts w:eastAsiaTheme="minorEastAsia"/>
          <w:sz w:val="20"/>
          <w:szCs w:val="20"/>
          <w:lang w:eastAsia="zh-CN"/>
        </w:rPr>
        <w:t>Option 2.1: use different sub-QoS Flow within one QoS Flow, and using sub-QoS flow Identifier in GTP-U header</w:t>
      </w:r>
    </w:p>
    <w:p w14:paraId="3DF93021" w14:textId="77777777" w:rsidR="003E3ECA" w:rsidRPr="00834301" w:rsidRDefault="003E3ECA" w:rsidP="00834301">
      <w:pPr>
        <w:pStyle w:val="ListParagraph"/>
        <w:numPr>
          <w:ilvl w:val="1"/>
          <w:numId w:val="10"/>
        </w:numPr>
        <w:overflowPunct w:val="0"/>
        <w:autoSpaceDE w:val="0"/>
        <w:autoSpaceDN w:val="0"/>
        <w:adjustRightInd w:val="0"/>
        <w:spacing w:after="180" w:line="240" w:lineRule="auto"/>
        <w:ind w:left="1260"/>
        <w:contextualSpacing w:val="0"/>
        <w:jc w:val="both"/>
        <w:textAlignment w:val="baseline"/>
        <w:rPr>
          <w:rFonts w:eastAsiaTheme="minorEastAsia"/>
          <w:sz w:val="20"/>
          <w:szCs w:val="20"/>
          <w:lang w:eastAsia="zh-CN"/>
        </w:rPr>
      </w:pPr>
      <w:r w:rsidRPr="00834301">
        <w:rPr>
          <w:rFonts w:eastAsiaTheme="minorEastAsia"/>
          <w:sz w:val="20"/>
          <w:szCs w:val="20"/>
          <w:lang w:eastAsia="zh-CN"/>
        </w:rPr>
        <w:t>Option 2.2: use PDU Set importance information in GTP-U header</w:t>
      </w:r>
    </w:p>
    <w:p w14:paraId="722309D8" w14:textId="25C722EC" w:rsidR="009770BB" w:rsidRPr="00EE3783" w:rsidRDefault="00EC149F" w:rsidP="009770BB">
      <w:pPr>
        <w:jc w:val="left"/>
        <w:rPr>
          <w:sz w:val="20"/>
          <w:szCs w:val="20"/>
        </w:rPr>
      </w:pPr>
      <w:r>
        <w:rPr>
          <w:sz w:val="20"/>
          <w:szCs w:val="20"/>
        </w:rPr>
        <w:t xml:space="preserve">In this contribution, we </w:t>
      </w:r>
      <w:r w:rsidR="00616999">
        <w:rPr>
          <w:sz w:val="20"/>
          <w:szCs w:val="20"/>
        </w:rPr>
        <w:t>discuss</w:t>
      </w:r>
      <w:r w:rsidR="00960634">
        <w:rPr>
          <w:sz w:val="20"/>
          <w:szCs w:val="20"/>
        </w:rPr>
        <w:t xml:space="preserve"> </w:t>
      </w:r>
      <w:r w:rsidR="00955755">
        <w:rPr>
          <w:sz w:val="20"/>
          <w:szCs w:val="20"/>
        </w:rPr>
        <w:t>h</w:t>
      </w:r>
      <w:r w:rsidR="00955755" w:rsidRPr="00955755">
        <w:rPr>
          <w:sz w:val="20"/>
          <w:szCs w:val="20"/>
        </w:rPr>
        <w:t>ow PDU sets can be mapped to DRBs/LCHs</w:t>
      </w:r>
      <w:r w:rsidR="00834301">
        <w:rPr>
          <w:sz w:val="20"/>
          <w:szCs w:val="20"/>
        </w:rPr>
        <w:t xml:space="preserve"> based on these options</w:t>
      </w:r>
      <w:r w:rsidR="00955755">
        <w:rPr>
          <w:sz w:val="20"/>
          <w:szCs w:val="20"/>
        </w:rPr>
        <w:t>.</w:t>
      </w:r>
    </w:p>
    <w:p w14:paraId="16483CD3" w14:textId="5E633ECC" w:rsidR="00107035" w:rsidRDefault="00A072E3" w:rsidP="00107035">
      <w:pPr>
        <w:pStyle w:val="Heading1"/>
      </w:pPr>
      <w:r>
        <w:t>Discussions</w:t>
      </w:r>
      <w:r w:rsidR="00107035">
        <w:t xml:space="preserve"> </w:t>
      </w:r>
    </w:p>
    <w:p w14:paraId="10E25F0A" w14:textId="318543DA" w:rsidR="006F0E17" w:rsidRDefault="00CB5FFB" w:rsidP="001125FF">
      <w:pPr>
        <w:pStyle w:val="Heading2"/>
      </w:pPr>
      <w:r>
        <w:t xml:space="preserve">How </w:t>
      </w:r>
      <w:r w:rsidR="007E042E" w:rsidRPr="007E042E">
        <w:t>PDU sets can be mapped to DRBs</w:t>
      </w:r>
      <w:r w:rsidR="007E042E">
        <w:t>/LCHs</w:t>
      </w:r>
    </w:p>
    <w:p w14:paraId="7C907544" w14:textId="5504FC44" w:rsidR="006F0E17" w:rsidRDefault="006F0E17" w:rsidP="006F0E17">
      <w:pPr>
        <w:pStyle w:val="Heading3"/>
      </w:pPr>
      <w:r>
        <w:t xml:space="preserve">Option </w:t>
      </w:r>
      <w:r w:rsidR="009666E5">
        <w:t>A</w:t>
      </w:r>
      <w:r w:rsidR="00265F87">
        <w:t xml:space="preserve"> </w:t>
      </w:r>
      <w:r w:rsidR="00265F87" w:rsidRPr="00265F87">
        <w:t xml:space="preserve">(mapping to different DRBs </w:t>
      </w:r>
      <w:r w:rsidR="00B617FB">
        <w:t>for</w:t>
      </w:r>
      <w:r w:rsidR="00265F87" w:rsidRPr="00265F87">
        <w:t xml:space="preserve"> different QFIs</w:t>
      </w:r>
      <w:r w:rsidR="007240E2">
        <w:t xml:space="preserve"> by the SDAP entity</w:t>
      </w:r>
      <w:r w:rsidR="00265F87" w:rsidRPr="00265F87">
        <w:t>)</w:t>
      </w:r>
    </w:p>
    <w:p w14:paraId="262C7B35" w14:textId="36E6301B" w:rsidR="00265F87" w:rsidRPr="00C90E35" w:rsidRDefault="00265F87" w:rsidP="00265F87">
      <w:pPr>
        <w:jc w:val="left"/>
        <w:rPr>
          <w:sz w:val="20"/>
          <w:szCs w:val="20"/>
        </w:rPr>
      </w:pPr>
      <w:r w:rsidRPr="00C90E35">
        <w:rPr>
          <w:sz w:val="20"/>
          <w:szCs w:val="20"/>
        </w:rPr>
        <w:t xml:space="preserve">Based on SA2 Option 1, </w:t>
      </w:r>
      <w:r w:rsidR="00343487">
        <w:rPr>
          <w:sz w:val="20"/>
          <w:szCs w:val="20"/>
        </w:rPr>
        <w:t xml:space="preserve">DL </w:t>
      </w:r>
      <w:r w:rsidRPr="00C90E35">
        <w:rPr>
          <w:sz w:val="20"/>
          <w:szCs w:val="20"/>
        </w:rPr>
        <w:t xml:space="preserve">packets belonging to PDU Sets of different importance levels (or different types of PDU Set) are already mapped onto different QoS flows by the UPF, as shown in Figure 1. Then, the SDAP entity can directly map DL packets to different DRBs based on their respective QFIs, as today. The gNB configures the different DRBs and the associated PDCP entities, RLC entities, and </w:t>
      </w:r>
      <w:r w:rsidR="00EB6B31">
        <w:rPr>
          <w:sz w:val="20"/>
          <w:szCs w:val="20"/>
        </w:rPr>
        <w:t>LCH</w:t>
      </w:r>
      <w:r w:rsidRPr="00C90E35">
        <w:rPr>
          <w:sz w:val="20"/>
          <w:szCs w:val="20"/>
        </w:rPr>
        <w:t xml:space="preserve">s according to the QoS profiles provided by the SMF for the corresponding QoS flows and performs differential </w:t>
      </w:r>
      <w:r>
        <w:rPr>
          <w:sz w:val="20"/>
          <w:szCs w:val="20"/>
        </w:rPr>
        <w:t xml:space="preserve">QoS </w:t>
      </w:r>
      <w:r w:rsidRPr="00C90E35">
        <w:rPr>
          <w:sz w:val="20"/>
          <w:szCs w:val="20"/>
        </w:rPr>
        <w:t xml:space="preserve">handling accordingly. </w:t>
      </w:r>
    </w:p>
    <w:p w14:paraId="137F6E68" w14:textId="77777777" w:rsidR="00265F87" w:rsidRDefault="00265F87" w:rsidP="00265F87">
      <w:r>
        <w:rPr>
          <w:noProof/>
        </w:rPr>
        <w:drawing>
          <wp:inline distT="0" distB="0" distL="0" distR="0" wp14:anchorId="0E547E71" wp14:editId="5A8366BA">
            <wp:extent cx="5892800" cy="1931501"/>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9068" cy="1940111"/>
                    </a:xfrm>
                    <a:prstGeom prst="rect">
                      <a:avLst/>
                    </a:prstGeom>
                    <a:noFill/>
                  </pic:spPr>
                </pic:pic>
              </a:graphicData>
            </a:graphic>
          </wp:inline>
        </w:drawing>
      </w:r>
    </w:p>
    <w:p w14:paraId="1ABB5091" w14:textId="77777777" w:rsidR="00265F87" w:rsidRDefault="00265F87" w:rsidP="00265F87">
      <w:pPr>
        <w:jc w:val="center"/>
        <w:rPr>
          <w:sz w:val="20"/>
          <w:szCs w:val="20"/>
        </w:rPr>
      </w:pPr>
      <w:r w:rsidRPr="00F459B7">
        <w:rPr>
          <w:sz w:val="20"/>
          <w:szCs w:val="20"/>
        </w:rPr>
        <w:t>Figure 1</w:t>
      </w:r>
      <w:r>
        <w:rPr>
          <w:sz w:val="20"/>
          <w:szCs w:val="20"/>
        </w:rPr>
        <w:t>. Option A</w:t>
      </w:r>
    </w:p>
    <w:p w14:paraId="537465F2" w14:textId="7327DD05" w:rsidR="00343487" w:rsidRDefault="00343487" w:rsidP="00343487">
      <w:pPr>
        <w:rPr>
          <w:sz w:val="20"/>
          <w:szCs w:val="20"/>
        </w:rPr>
      </w:pPr>
      <w:r>
        <w:rPr>
          <w:sz w:val="20"/>
          <w:szCs w:val="20"/>
        </w:rPr>
        <w:t xml:space="preserve">This </w:t>
      </w:r>
      <w:r w:rsidR="00773078">
        <w:rPr>
          <w:sz w:val="20"/>
          <w:szCs w:val="20"/>
        </w:rPr>
        <w:t xml:space="preserve">approach for mapping </w:t>
      </w:r>
      <w:r>
        <w:rPr>
          <w:sz w:val="20"/>
          <w:szCs w:val="20"/>
        </w:rPr>
        <w:t xml:space="preserve">PDU sets to DRBs/LCHs can be considered for </w:t>
      </w:r>
      <w:r w:rsidR="00776080">
        <w:rPr>
          <w:sz w:val="20"/>
          <w:szCs w:val="20"/>
        </w:rPr>
        <w:t xml:space="preserve">the UE to perform PDU Set mapping on the UL </w:t>
      </w:r>
      <w:r>
        <w:rPr>
          <w:sz w:val="20"/>
          <w:szCs w:val="20"/>
        </w:rPr>
        <w:t xml:space="preserve">as well, except that for the UL, the UE performs </w:t>
      </w:r>
      <w:r w:rsidR="00776080">
        <w:rPr>
          <w:sz w:val="20"/>
          <w:szCs w:val="20"/>
        </w:rPr>
        <w:t xml:space="preserve">the </w:t>
      </w:r>
      <w:r>
        <w:rPr>
          <w:sz w:val="20"/>
          <w:szCs w:val="20"/>
        </w:rPr>
        <w:t>packet classification</w:t>
      </w:r>
      <w:r w:rsidR="00B66EFE">
        <w:rPr>
          <w:sz w:val="20"/>
          <w:szCs w:val="20"/>
        </w:rPr>
        <w:t xml:space="preserve">, </w:t>
      </w:r>
      <w:r>
        <w:rPr>
          <w:sz w:val="20"/>
          <w:szCs w:val="20"/>
        </w:rPr>
        <w:t xml:space="preserve">based on </w:t>
      </w:r>
      <w:r w:rsidR="00B66EFE">
        <w:rPr>
          <w:sz w:val="20"/>
          <w:szCs w:val="20"/>
        </w:rPr>
        <w:t xml:space="preserve">new </w:t>
      </w:r>
      <w:r>
        <w:rPr>
          <w:sz w:val="20"/>
          <w:szCs w:val="20"/>
        </w:rPr>
        <w:t xml:space="preserve">classification criteria in the QoS rules provided by the SMF. </w:t>
      </w:r>
    </w:p>
    <w:p w14:paraId="1F0E9AC7" w14:textId="1495BB4F" w:rsidR="00265F87" w:rsidRPr="00C90E35" w:rsidRDefault="00265F87" w:rsidP="00265F87">
      <w:pPr>
        <w:rPr>
          <w:sz w:val="20"/>
          <w:szCs w:val="20"/>
        </w:rPr>
      </w:pPr>
      <w:r w:rsidRPr="00C90E35">
        <w:rPr>
          <w:sz w:val="20"/>
          <w:szCs w:val="20"/>
        </w:rPr>
        <w:lastRenderedPageBreak/>
        <w:t xml:space="preserve">Based on SA2 Option 2, </w:t>
      </w:r>
      <w:r w:rsidR="00343487">
        <w:rPr>
          <w:sz w:val="20"/>
          <w:szCs w:val="20"/>
        </w:rPr>
        <w:t xml:space="preserve">DL </w:t>
      </w:r>
      <w:r w:rsidRPr="00C90E35">
        <w:rPr>
          <w:sz w:val="20"/>
          <w:szCs w:val="20"/>
        </w:rPr>
        <w:t>packets belonging to PDU Sets of different importance levels (or different types of PDU Set) of a same PDU session are mapped onto the same QoS flow but each packet additionally attached with an associated sub-QFI (SA2 Option 2.1) or Importance (SA2 Option 2.2) value</w:t>
      </w:r>
      <w:r>
        <w:rPr>
          <w:sz w:val="20"/>
          <w:szCs w:val="20"/>
        </w:rPr>
        <w:t>, which is determined by the UPF and</w:t>
      </w:r>
      <w:r w:rsidRPr="00C90E35">
        <w:rPr>
          <w:sz w:val="20"/>
          <w:szCs w:val="20"/>
        </w:rPr>
        <w:t xml:space="preserve"> indicat</w:t>
      </w:r>
      <w:r>
        <w:rPr>
          <w:sz w:val="20"/>
          <w:szCs w:val="20"/>
        </w:rPr>
        <w:t>es</w:t>
      </w:r>
      <w:r w:rsidRPr="00C90E35">
        <w:rPr>
          <w:sz w:val="20"/>
          <w:szCs w:val="20"/>
        </w:rPr>
        <w:t xml:space="preserve"> the importance level implicitly </w:t>
      </w:r>
      <w:r>
        <w:rPr>
          <w:sz w:val="20"/>
          <w:szCs w:val="20"/>
        </w:rPr>
        <w:t xml:space="preserve">(2.1) </w:t>
      </w:r>
      <w:r w:rsidRPr="00C90E35">
        <w:rPr>
          <w:sz w:val="20"/>
          <w:szCs w:val="20"/>
        </w:rPr>
        <w:t>or explicitly</w:t>
      </w:r>
      <w:r>
        <w:rPr>
          <w:sz w:val="20"/>
          <w:szCs w:val="20"/>
        </w:rPr>
        <w:t xml:space="preserve"> (2.2)</w:t>
      </w:r>
      <w:r w:rsidRPr="00C90E35">
        <w:rPr>
          <w:sz w:val="20"/>
          <w:szCs w:val="20"/>
        </w:rPr>
        <w:t xml:space="preserve"> for </w:t>
      </w:r>
      <w:r>
        <w:rPr>
          <w:sz w:val="20"/>
          <w:szCs w:val="20"/>
        </w:rPr>
        <w:t xml:space="preserve">RAN to perform </w:t>
      </w:r>
      <w:r w:rsidRPr="00C90E35">
        <w:rPr>
          <w:sz w:val="20"/>
          <w:szCs w:val="20"/>
        </w:rPr>
        <w:t xml:space="preserve">differential </w:t>
      </w:r>
      <w:r>
        <w:rPr>
          <w:sz w:val="20"/>
          <w:szCs w:val="20"/>
        </w:rPr>
        <w:t>QoS</w:t>
      </w:r>
      <w:r w:rsidRPr="00C90E35">
        <w:rPr>
          <w:sz w:val="20"/>
          <w:szCs w:val="20"/>
        </w:rPr>
        <w:t xml:space="preserve"> handling. </w:t>
      </w:r>
      <w:r>
        <w:rPr>
          <w:sz w:val="20"/>
          <w:szCs w:val="20"/>
        </w:rPr>
        <w:t>In this case, t</w:t>
      </w:r>
      <w:r w:rsidRPr="00C90E35">
        <w:rPr>
          <w:sz w:val="20"/>
          <w:szCs w:val="20"/>
        </w:rPr>
        <w:t xml:space="preserve">here are two options for performing PDU Set mapping: Option </w:t>
      </w:r>
      <w:r>
        <w:rPr>
          <w:sz w:val="20"/>
          <w:szCs w:val="20"/>
        </w:rPr>
        <w:t>B</w:t>
      </w:r>
      <w:r w:rsidRPr="00C90E35">
        <w:rPr>
          <w:sz w:val="20"/>
          <w:szCs w:val="20"/>
        </w:rPr>
        <w:t xml:space="preserve"> and </w:t>
      </w:r>
      <w:r>
        <w:rPr>
          <w:sz w:val="20"/>
          <w:szCs w:val="20"/>
        </w:rPr>
        <w:t>Option C</w:t>
      </w:r>
      <w:r w:rsidR="00773078">
        <w:rPr>
          <w:sz w:val="20"/>
          <w:szCs w:val="20"/>
        </w:rPr>
        <w:t>, as described below.</w:t>
      </w:r>
    </w:p>
    <w:p w14:paraId="67C5F524" w14:textId="70C7BAA7" w:rsidR="006F0E17" w:rsidRDefault="00265F87" w:rsidP="006F0E17">
      <w:pPr>
        <w:pStyle w:val="Heading3"/>
      </w:pPr>
      <w:r w:rsidRPr="00265F87">
        <w:t>Option B (mapping to different DRBs</w:t>
      </w:r>
      <w:r w:rsidR="007240E2">
        <w:t xml:space="preserve"> </w:t>
      </w:r>
      <w:r w:rsidR="00B617FB">
        <w:t>for</w:t>
      </w:r>
      <w:r w:rsidRPr="00265F87">
        <w:t xml:space="preserve"> </w:t>
      </w:r>
      <w:r w:rsidR="007240E2">
        <w:t>different</w:t>
      </w:r>
      <w:r w:rsidRPr="00265F87">
        <w:t xml:space="preserve"> sub-QF</w:t>
      </w:r>
      <w:r w:rsidR="008872EC">
        <w:t>I</w:t>
      </w:r>
      <w:r w:rsidR="00B617FB">
        <w:t xml:space="preserve">s or </w:t>
      </w:r>
      <w:r w:rsidRPr="00265F87">
        <w:t xml:space="preserve">Importance </w:t>
      </w:r>
      <w:r w:rsidR="007240E2">
        <w:t>values by the SDAP entity</w:t>
      </w:r>
      <w:r w:rsidRPr="00265F87">
        <w:t>)</w:t>
      </w:r>
    </w:p>
    <w:p w14:paraId="3B3F6CB2" w14:textId="61A085B4" w:rsidR="00EB6B31" w:rsidRPr="00C90E35" w:rsidRDefault="00EB6B31" w:rsidP="00EB6B31">
      <w:pPr>
        <w:rPr>
          <w:sz w:val="20"/>
          <w:szCs w:val="20"/>
        </w:rPr>
      </w:pPr>
      <w:r w:rsidRPr="00C90E35">
        <w:rPr>
          <w:sz w:val="20"/>
          <w:szCs w:val="20"/>
        </w:rPr>
        <w:t xml:space="preserve">In Option </w:t>
      </w:r>
      <w:r>
        <w:rPr>
          <w:sz w:val="20"/>
          <w:szCs w:val="20"/>
        </w:rPr>
        <w:t>B</w:t>
      </w:r>
      <w:r w:rsidRPr="00C90E35">
        <w:rPr>
          <w:sz w:val="20"/>
          <w:szCs w:val="20"/>
        </w:rPr>
        <w:t xml:space="preserve">, the SDAP entity maps packets of the same QoS flow (configured for differential QoS handling) but associated with different sub-QFI (2.1) or Importance (2.2) values onto different DRBs, as shown in Figure 2. The gNB configures the different DRBs and the associated PDCP entities, RLC entities, and </w:t>
      </w:r>
      <w:r>
        <w:rPr>
          <w:sz w:val="20"/>
          <w:szCs w:val="20"/>
        </w:rPr>
        <w:t>LCH</w:t>
      </w:r>
      <w:r w:rsidRPr="00C90E35">
        <w:rPr>
          <w:sz w:val="20"/>
          <w:szCs w:val="20"/>
        </w:rPr>
        <w:t xml:space="preserve">s according to the QoS profiles provided by the SMF for the corresponding QoS flows and performs differential </w:t>
      </w:r>
      <w:r>
        <w:rPr>
          <w:sz w:val="20"/>
          <w:szCs w:val="20"/>
        </w:rPr>
        <w:t>QoS</w:t>
      </w:r>
      <w:r w:rsidRPr="00C90E35">
        <w:rPr>
          <w:sz w:val="20"/>
          <w:szCs w:val="20"/>
        </w:rPr>
        <w:t xml:space="preserve"> handling accordingly. In this</w:t>
      </w:r>
      <w:r>
        <w:rPr>
          <w:sz w:val="20"/>
          <w:szCs w:val="20"/>
        </w:rPr>
        <w:t xml:space="preserve"> option</w:t>
      </w:r>
      <w:r w:rsidRPr="00C90E35">
        <w:rPr>
          <w:sz w:val="20"/>
          <w:szCs w:val="20"/>
        </w:rPr>
        <w:t>, the QoS flow to radio bearer mapping function in the SDAP entity needs to be enhanced</w:t>
      </w:r>
      <w:r w:rsidR="00257F52">
        <w:rPr>
          <w:sz w:val="20"/>
          <w:szCs w:val="20"/>
        </w:rPr>
        <w:t xml:space="preserve"> with additional mapping behaviors</w:t>
      </w:r>
      <w:r w:rsidRPr="00C90E35">
        <w:rPr>
          <w:sz w:val="20"/>
          <w:szCs w:val="20"/>
        </w:rPr>
        <w:t>. Hence</w:t>
      </w:r>
      <w:r>
        <w:rPr>
          <w:sz w:val="20"/>
          <w:szCs w:val="20"/>
        </w:rPr>
        <w:t>,</w:t>
      </w:r>
      <w:r w:rsidRPr="00C90E35">
        <w:rPr>
          <w:sz w:val="20"/>
          <w:szCs w:val="20"/>
        </w:rPr>
        <w:t xml:space="preserve"> there is impact to SDAP spec (</w:t>
      </w:r>
      <w:r>
        <w:rPr>
          <w:sz w:val="20"/>
          <w:szCs w:val="20"/>
        </w:rPr>
        <w:t xml:space="preserve">TS </w:t>
      </w:r>
      <w:r w:rsidRPr="00C90E35">
        <w:rPr>
          <w:sz w:val="20"/>
          <w:szCs w:val="20"/>
        </w:rPr>
        <w:t>37.324).</w:t>
      </w:r>
    </w:p>
    <w:p w14:paraId="0B39B9E4" w14:textId="77777777" w:rsidR="00EB6B31" w:rsidRDefault="00EB6B31" w:rsidP="00EB6B31">
      <w:r>
        <w:rPr>
          <w:noProof/>
        </w:rPr>
        <w:drawing>
          <wp:inline distT="0" distB="0" distL="0" distR="0" wp14:anchorId="6464EFBB" wp14:editId="0F4DC8CE">
            <wp:extent cx="5892800" cy="1931505"/>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2059" cy="1947651"/>
                    </a:xfrm>
                    <a:prstGeom prst="rect">
                      <a:avLst/>
                    </a:prstGeom>
                    <a:noFill/>
                  </pic:spPr>
                </pic:pic>
              </a:graphicData>
            </a:graphic>
          </wp:inline>
        </w:drawing>
      </w:r>
    </w:p>
    <w:p w14:paraId="409D0F68" w14:textId="59DED79C" w:rsidR="00EB6B31" w:rsidRDefault="00EB6B31" w:rsidP="00EB6B31">
      <w:pPr>
        <w:jc w:val="center"/>
        <w:rPr>
          <w:sz w:val="20"/>
          <w:szCs w:val="20"/>
        </w:rPr>
      </w:pPr>
      <w:r w:rsidRPr="00F459B7">
        <w:rPr>
          <w:sz w:val="20"/>
          <w:szCs w:val="20"/>
        </w:rPr>
        <w:t xml:space="preserve">Figure </w:t>
      </w:r>
      <w:r>
        <w:rPr>
          <w:sz w:val="20"/>
          <w:szCs w:val="20"/>
        </w:rPr>
        <w:t>2. Option B</w:t>
      </w:r>
    </w:p>
    <w:p w14:paraId="72363EE7" w14:textId="0E96C1EB" w:rsidR="00776080" w:rsidRDefault="00776080" w:rsidP="00776080">
      <w:pPr>
        <w:rPr>
          <w:sz w:val="20"/>
          <w:szCs w:val="20"/>
        </w:rPr>
      </w:pPr>
      <w:r>
        <w:rPr>
          <w:sz w:val="20"/>
          <w:szCs w:val="20"/>
        </w:rPr>
        <w:t xml:space="preserve">This approach for mapping PDU sets to DRBs/LCHs can be considered for the UE to perform PDU Set mapping on the UL as well, except that for the UL, the UE performs the packet classification, based on new classification criteria in the QoS rules provided by the SMF. </w:t>
      </w:r>
    </w:p>
    <w:p w14:paraId="54B8208D" w14:textId="0306DD18" w:rsidR="00265F87" w:rsidRDefault="00B617FB" w:rsidP="00265F87">
      <w:pPr>
        <w:pStyle w:val="Heading3"/>
      </w:pPr>
      <w:r>
        <w:t xml:space="preserve">Option C (mapping to different RLCs/LCHs associated with the same PDCP/DRB </w:t>
      </w:r>
      <w:r>
        <w:t>for</w:t>
      </w:r>
      <w:r>
        <w:t xml:space="preserve"> different sub-QFIs or Importance values by the PDCP entity)</w:t>
      </w:r>
    </w:p>
    <w:p w14:paraId="4E983923" w14:textId="705D5C8A" w:rsidR="00EB6B31" w:rsidRPr="0019037E" w:rsidRDefault="00EB6B31" w:rsidP="00EB6B31">
      <w:pPr>
        <w:rPr>
          <w:sz w:val="20"/>
          <w:szCs w:val="20"/>
        </w:rPr>
      </w:pPr>
      <w:bookmarkStart w:id="2" w:name="_Hlk115040054"/>
      <w:r w:rsidRPr="0019037E">
        <w:rPr>
          <w:sz w:val="20"/>
          <w:szCs w:val="20"/>
        </w:rPr>
        <w:t xml:space="preserve">In Option </w:t>
      </w:r>
      <w:r>
        <w:rPr>
          <w:sz w:val="20"/>
          <w:szCs w:val="20"/>
        </w:rPr>
        <w:t>C</w:t>
      </w:r>
      <w:r w:rsidRPr="0019037E">
        <w:rPr>
          <w:sz w:val="20"/>
          <w:szCs w:val="20"/>
        </w:rPr>
        <w:t xml:space="preserve">, the SDAP entity maps packets of the same QoS flow (configured for differential QoS handling) onto the same DRB </w:t>
      </w:r>
      <w:bookmarkEnd w:id="2"/>
      <w:r w:rsidRPr="0019037E">
        <w:rPr>
          <w:sz w:val="20"/>
          <w:szCs w:val="20"/>
        </w:rPr>
        <w:t>and passes them along with the associated sub-QFI (</w:t>
      </w:r>
      <w:r>
        <w:rPr>
          <w:sz w:val="20"/>
          <w:szCs w:val="20"/>
        </w:rPr>
        <w:t>2</w:t>
      </w:r>
      <w:r w:rsidRPr="0019037E">
        <w:rPr>
          <w:sz w:val="20"/>
          <w:szCs w:val="20"/>
        </w:rPr>
        <w:t>.1) or Importance (2.2) values to the PDCP entity serving the DRB. The gNB configures the PDCP entit</w:t>
      </w:r>
      <w:r>
        <w:rPr>
          <w:sz w:val="20"/>
          <w:szCs w:val="20"/>
        </w:rPr>
        <w:t>y to be associated with multiple RLC entit</w:t>
      </w:r>
      <w:r w:rsidRPr="0019037E">
        <w:rPr>
          <w:sz w:val="20"/>
          <w:szCs w:val="20"/>
        </w:rPr>
        <w:t>ies</w:t>
      </w:r>
      <w:r>
        <w:rPr>
          <w:sz w:val="20"/>
          <w:szCs w:val="20"/>
        </w:rPr>
        <w:t xml:space="preserve"> (and hence multiple LCHs). The gNB configures the multiple</w:t>
      </w:r>
      <w:r w:rsidRPr="0019037E">
        <w:rPr>
          <w:sz w:val="20"/>
          <w:szCs w:val="20"/>
        </w:rPr>
        <w:t xml:space="preserve"> RLC entities and </w:t>
      </w:r>
      <w:r>
        <w:rPr>
          <w:sz w:val="20"/>
          <w:szCs w:val="20"/>
        </w:rPr>
        <w:t>LCHs</w:t>
      </w:r>
      <w:r w:rsidRPr="0019037E">
        <w:rPr>
          <w:sz w:val="20"/>
          <w:szCs w:val="20"/>
        </w:rPr>
        <w:t xml:space="preserve"> according to the </w:t>
      </w:r>
      <w:r>
        <w:rPr>
          <w:sz w:val="20"/>
          <w:szCs w:val="20"/>
        </w:rPr>
        <w:t>sub-</w:t>
      </w:r>
      <w:r w:rsidRPr="0019037E">
        <w:rPr>
          <w:sz w:val="20"/>
          <w:szCs w:val="20"/>
        </w:rPr>
        <w:t xml:space="preserve">QoS profiles provided by the SMF for the corresponding </w:t>
      </w:r>
      <w:r>
        <w:rPr>
          <w:sz w:val="20"/>
          <w:szCs w:val="20"/>
        </w:rPr>
        <w:t>sub-</w:t>
      </w:r>
      <w:r w:rsidRPr="0019037E">
        <w:rPr>
          <w:sz w:val="20"/>
          <w:szCs w:val="20"/>
        </w:rPr>
        <w:t xml:space="preserve">QoS flows </w:t>
      </w:r>
      <w:r>
        <w:rPr>
          <w:sz w:val="20"/>
          <w:szCs w:val="20"/>
        </w:rPr>
        <w:t xml:space="preserve">(2.1) or Importance levels (2.2). </w:t>
      </w:r>
      <w:r w:rsidRPr="0019037E">
        <w:rPr>
          <w:sz w:val="20"/>
          <w:szCs w:val="20"/>
        </w:rPr>
        <w:t xml:space="preserve">The PDCP entity routes </w:t>
      </w:r>
      <w:r>
        <w:rPr>
          <w:sz w:val="20"/>
          <w:szCs w:val="20"/>
        </w:rPr>
        <w:t>a</w:t>
      </w:r>
      <w:r w:rsidRPr="0019037E">
        <w:rPr>
          <w:sz w:val="20"/>
          <w:szCs w:val="20"/>
        </w:rPr>
        <w:t xml:space="preserve"> produced PDCP PDU to </w:t>
      </w:r>
      <w:r>
        <w:rPr>
          <w:sz w:val="20"/>
          <w:szCs w:val="20"/>
        </w:rPr>
        <w:t>an associated</w:t>
      </w:r>
      <w:r w:rsidRPr="0019037E">
        <w:rPr>
          <w:sz w:val="20"/>
          <w:szCs w:val="20"/>
        </w:rPr>
        <w:t xml:space="preserve"> RLC entit</w:t>
      </w:r>
      <w:r>
        <w:rPr>
          <w:sz w:val="20"/>
          <w:szCs w:val="20"/>
        </w:rPr>
        <w:t>y</w:t>
      </w:r>
      <w:r w:rsidRPr="0019037E">
        <w:rPr>
          <w:sz w:val="20"/>
          <w:szCs w:val="20"/>
        </w:rPr>
        <w:t xml:space="preserve"> based on the associated sub-QFI or Importance value, as shown in Figure 3</w:t>
      </w:r>
      <w:r>
        <w:rPr>
          <w:sz w:val="20"/>
          <w:szCs w:val="20"/>
        </w:rPr>
        <w:t xml:space="preserve">, and the lower layers perform </w:t>
      </w:r>
      <w:r w:rsidRPr="0019037E">
        <w:rPr>
          <w:sz w:val="20"/>
          <w:szCs w:val="20"/>
        </w:rPr>
        <w:t xml:space="preserve">differential </w:t>
      </w:r>
      <w:r>
        <w:rPr>
          <w:sz w:val="20"/>
          <w:szCs w:val="20"/>
        </w:rPr>
        <w:t>QoS</w:t>
      </w:r>
      <w:r w:rsidRPr="0019037E">
        <w:rPr>
          <w:sz w:val="20"/>
          <w:szCs w:val="20"/>
        </w:rPr>
        <w:t xml:space="preserve"> handling accordingly.</w:t>
      </w:r>
      <w:r>
        <w:rPr>
          <w:sz w:val="20"/>
          <w:szCs w:val="20"/>
        </w:rPr>
        <w:t xml:space="preserve"> </w:t>
      </w:r>
      <w:r w:rsidRPr="0019037E">
        <w:rPr>
          <w:sz w:val="20"/>
          <w:szCs w:val="20"/>
        </w:rPr>
        <w:t xml:space="preserve">In this </w:t>
      </w:r>
      <w:r>
        <w:rPr>
          <w:sz w:val="20"/>
          <w:szCs w:val="20"/>
        </w:rPr>
        <w:t>option</w:t>
      </w:r>
      <w:r w:rsidRPr="0019037E">
        <w:rPr>
          <w:sz w:val="20"/>
          <w:szCs w:val="20"/>
        </w:rPr>
        <w:t xml:space="preserve">, the </w:t>
      </w:r>
      <w:r>
        <w:rPr>
          <w:sz w:val="20"/>
          <w:szCs w:val="20"/>
        </w:rPr>
        <w:t xml:space="preserve">routing </w:t>
      </w:r>
      <w:r w:rsidRPr="0019037E">
        <w:rPr>
          <w:sz w:val="20"/>
          <w:szCs w:val="20"/>
        </w:rPr>
        <w:t>function in the</w:t>
      </w:r>
      <w:r>
        <w:rPr>
          <w:sz w:val="20"/>
          <w:szCs w:val="20"/>
        </w:rPr>
        <w:t xml:space="preserve"> PDCP</w:t>
      </w:r>
      <w:r w:rsidRPr="0019037E">
        <w:rPr>
          <w:sz w:val="20"/>
          <w:szCs w:val="20"/>
        </w:rPr>
        <w:t xml:space="preserve"> entity needs to be enhanced</w:t>
      </w:r>
      <w:r>
        <w:rPr>
          <w:sz w:val="20"/>
          <w:szCs w:val="20"/>
        </w:rPr>
        <w:t xml:space="preserve"> with additional routing behaviors</w:t>
      </w:r>
      <w:r w:rsidRPr="0019037E">
        <w:rPr>
          <w:sz w:val="20"/>
          <w:szCs w:val="20"/>
        </w:rPr>
        <w:t>. Hence</w:t>
      </w:r>
      <w:r>
        <w:rPr>
          <w:sz w:val="20"/>
          <w:szCs w:val="20"/>
        </w:rPr>
        <w:t>,</w:t>
      </w:r>
      <w:r w:rsidRPr="0019037E">
        <w:rPr>
          <w:sz w:val="20"/>
          <w:szCs w:val="20"/>
        </w:rPr>
        <w:t xml:space="preserve"> there is impact to </w:t>
      </w:r>
      <w:r>
        <w:rPr>
          <w:sz w:val="20"/>
          <w:szCs w:val="20"/>
        </w:rPr>
        <w:t>PDCP</w:t>
      </w:r>
      <w:r w:rsidRPr="0019037E">
        <w:rPr>
          <w:sz w:val="20"/>
          <w:szCs w:val="20"/>
        </w:rPr>
        <w:t xml:space="preserve"> spec (</w:t>
      </w:r>
      <w:r>
        <w:rPr>
          <w:sz w:val="20"/>
          <w:szCs w:val="20"/>
        </w:rPr>
        <w:t xml:space="preserve">TS </w:t>
      </w:r>
      <w:r w:rsidRPr="0019037E">
        <w:rPr>
          <w:sz w:val="20"/>
          <w:szCs w:val="20"/>
        </w:rPr>
        <w:t>3</w:t>
      </w:r>
      <w:r>
        <w:rPr>
          <w:sz w:val="20"/>
          <w:szCs w:val="20"/>
        </w:rPr>
        <w:t>8</w:t>
      </w:r>
      <w:r w:rsidRPr="0019037E">
        <w:rPr>
          <w:sz w:val="20"/>
          <w:szCs w:val="20"/>
        </w:rPr>
        <w:t>.32</w:t>
      </w:r>
      <w:r>
        <w:rPr>
          <w:sz w:val="20"/>
          <w:szCs w:val="20"/>
        </w:rPr>
        <w:t>3</w:t>
      </w:r>
      <w:r w:rsidRPr="0019037E">
        <w:rPr>
          <w:sz w:val="20"/>
          <w:szCs w:val="20"/>
        </w:rPr>
        <w:t>).</w:t>
      </w:r>
    </w:p>
    <w:p w14:paraId="40D4E1A3" w14:textId="77777777" w:rsidR="00EB6B31" w:rsidRDefault="00EB6B31" w:rsidP="00EB6B31">
      <w:r>
        <w:rPr>
          <w:noProof/>
        </w:rPr>
        <w:drawing>
          <wp:inline distT="0" distB="0" distL="0" distR="0" wp14:anchorId="6D54A210" wp14:editId="62DA25B7">
            <wp:extent cx="5886450" cy="1929422"/>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02650" cy="1934732"/>
                    </a:xfrm>
                    <a:prstGeom prst="rect">
                      <a:avLst/>
                    </a:prstGeom>
                    <a:noFill/>
                  </pic:spPr>
                </pic:pic>
              </a:graphicData>
            </a:graphic>
          </wp:inline>
        </w:drawing>
      </w:r>
    </w:p>
    <w:p w14:paraId="41E0EF99" w14:textId="77777777" w:rsidR="00EB6B31" w:rsidRDefault="00EB6B31" w:rsidP="00EB6B31">
      <w:pPr>
        <w:jc w:val="center"/>
        <w:rPr>
          <w:sz w:val="20"/>
          <w:szCs w:val="20"/>
        </w:rPr>
      </w:pPr>
      <w:r w:rsidRPr="00F459B7">
        <w:rPr>
          <w:sz w:val="20"/>
          <w:szCs w:val="20"/>
        </w:rPr>
        <w:t xml:space="preserve">Figure </w:t>
      </w:r>
      <w:r>
        <w:rPr>
          <w:sz w:val="20"/>
          <w:szCs w:val="20"/>
        </w:rPr>
        <w:t>3. Option C</w:t>
      </w:r>
    </w:p>
    <w:p w14:paraId="26181E47" w14:textId="1D8AA3A8" w:rsidR="00776080" w:rsidRDefault="00776080" w:rsidP="00776080">
      <w:pPr>
        <w:rPr>
          <w:sz w:val="20"/>
          <w:szCs w:val="20"/>
        </w:rPr>
      </w:pPr>
      <w:r>
        <w:rPr>
          <w:sz w:val="20"/>
          <w:szCs w:val="20"/>
        </w:rPr>
        <w:lastRenderedPageBreak/>
        <w:t xml:space="preserve">This approach for mapping PDU sets to DRBs/LCHs can be considered for the UE to perform PDU Set mapping on the UL as well, except that for the UL, the UE performs the packet classification, based on new classification criteria in the QoS rules provided by the SMF. </w:t>
      </w:r>
    </w:p>
    <w:p w14:paraId="40EDFDC8" w14:textId="445401C5" w:rsidR="0088226F" w:rsidRDefault="0088226F" w:rsidP="0088226F">
      <w:pPr>
        <w:rPr>
          <w:b/>
          <w:bCs/>
          <w:sz w:val="20"/>
          <w:szCs w:val="20"/>
        </w:rPr>
      </w:pPr>
      <w:r w:rsidRPr="003F6138">
        <w:rPr>
          <w:b/>
          <w:bCs/>
          <w:sz w:val="20"/>
          <w:szCs w:val="20"/>
        </w:rPr>
        <w:t>Proposal</w:t>
      </w:r>
      <w:r>
        <w:rPr>
          <w:b/>
          <w:bCs/>
          <w:sz w:val="20"/>
          <w:szCs w:val="20"/>
        </w:rPr>
        <w:t xml:space="preserve"> 1</w:t>
      </w:r>
      <w:r w:rsidRPr="003F6138">
        <w:rPr>
          <w:b/>
          <w:bCs/>
          <w:sz w:val="20"/>
          <w:szCs w:val="20"/>
        </w:rPr>
        <w:t xml:space="preserve">: </w:t>
      </w:r>
      <w:r>
        <w:rPr>
          <w:b/>
          <w:bCs/>
          <w:sz w:val="20"/>
          <w:szCs w:val="20"/>
        </w:rPr>
        <w:t>RAN2 study the various options described in Section 2.1.</w:t>
      </w:r>
    </w:p>
    <w:p w14:paraId="052DAD0A" w14:textId="77777777" w:rsidR="0088226F" w:rsidRDefault="0088226F" w:rsidP="0088226F">
      <w:pPr>
        <w:rPr>
          <w:b/>
          <w:bCs/>
          <w:sz w:val="20"/>
          <w:szCs w:val="20"/>
        </w:rPr>
      </w:pPr>
      <w:r>
        <w:rPr>
          <w:b/>
          <w:bCs/>
          <w:sz w:val="20"/>
          <w:szCs w:val="20"/>
        </w:rPr>
        <w:t>Proposal 2: RAN2 consider incorporating the text proposed in the Annex into draft TR 38.835.</w:t>
      </w:r>
    </w:p>
    <w:p w14:paraId="18B94AA5" w14:textId="4F262795" w:rsidR="00157FC3" w:rsidRPr="00493C77" w:rsidRDefault="00747F48" w:rsidP="00493C77">
      <w:pPr>
        <w:pStyle w:val="Heading1"/>
      </w:pPr>
      <w:bookmarkStart w:id="3" w:name="_Ref129681832"/>
      <w:r w:rsidRPr="00493C77">
        <w:t>Conclusion</w:t>
      </w:r>
      <w:r w:rsidR="006B1FD5" w:rsidRPr="00493C77">
        <w:t>s</w:t>
      </w:r>
    </w:p>
    <w:p w14:paraId="50274FBB" w14:textId="17637A58" w:rsidR="00A67E47" w:rsidRPr="004E0536" w:rsidRDefault="00EC0D61" w:rsidP="00A67E47">
      <w:pPr>
        <w:overflowPunct w:val="0"/>
        <w:spacing w:after="180"/>
        <w:textAlignment w:val="baseline"/>
        <w:rPr>
          <w:b/>
          <w:sz w:val="20"/>
          <w:szCs w:val="20"/>
        </w:rPr>
      </w:pPr>
      <w:r>
        <w:rPr>
          <w:sz w:val="20"/>
          <w:szCs w:val="20"/>
        </w:rPr>
        <w:t>The following</w:t>
      </w:r>
      <w:r w:rsidR="00AE6BE1">
        <w:rPr>
          <w:sz w:val="20"/>
          <w:szCs w:val="20"/>
        </w:rPr>
        <w:t>s</w:t>
      </w:r>
      <w:r>
        <w:rPr>
          <w:sz w:val="20"/>
          <w:szCs w:val="20"/>
        </w:rPr>
        <w:t xml:space="preserve"> </w:t>
      </w:r>
      <w:r w:rsidR="00AE6BE1">
        <w:rPr>
          <w:sz w:val="20"/>
          <w:szCs w:val="20"/>
        </w:rPr>
        <w:t>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6A7D65BA" w14:textId="77777777" w:rsidR="0088226F" w:rsidRDefault="0088226F" w:rsidP="0088226F">
      <w:pPr>
        <w:rPr>
          <w:b/>
          <w:bCs/>
          <w:sz w:val="20"/>
          <w:szCs w:val="20"/>
        </w:rPr>
      </w:pPr>
      <w:bookmarkStart w:id="4" w:name="_Ref124589665"/>
      <w:bookmarkStart w:id="5" w:name="_Ref71620620"/>
      <w:bookmarkStart w:id="6" w:name="_Ref124671424"/>
      <w:r w:rsidRPr="003F6138">
        <w:rPr>
          <w:b/>
          <w:bCs/>
          <w:sz w:val="20"/>
          <w:szCs w:val="20"/>
        </w:rPr>
        <w:t>Proposal</w:t>
      </w:r>
      <w:r>
        <w:rPr>
          <w:b/>
          <w:bCs/>
          <w:sz w:val="20"/>
          <w:szCs w:val="20"/>
        </w:rPr>
        <w:t xml:space="preserve"> 1</w:t>
      </w:r>
      <w:r w:rsidRPr="003F6138">
        <w:rPr>
          <w:b/>
          <w:bCs/>
          <w:sz w:val="20"/>
          <w:szCs w:val="20"/>
        </w:rPr>
        <w:t xml:space="preserve">: </w:t>
      </w:r>
      <w:r>
        <w:rPr>
          <w:b/>
          <w:bCs/>
          <w:sz w:val="20"/>
          <w:szCs w:val="20"/>
        </w:rPr>
        <w:t>RAN2 study the various options described in Section 2.1.</w:t>
      </w:r>
    </w:p>
    <w:p w14:paraId="67B46F34" w14:textId="77777777" w:rsidR="0088226F" w:rsidRDefault="0088226F" w:rsidP="0088226F">
      <w:pPr>
        <w:rPr>
          <w:b/>
          <w:bCs/>
          <w:sz w:val="20"/>
          <w:szCs w:val="20"/>
        </w:rPr>
      </w:pPr>
      <w:r>
        <w:rPr>
          <w:b/>
          <w:bCs/>
          <w:sz w:val="20"/>
          <w:szCs w:val="20"/>
        </w:rPr>
        <w:t>Proposal 2: RAN2 consider incorporating the text proposed in the Annex into draft TR 38.835.</w:t>
      </w:r>
    </w:p>
    <w:p w14:paraId="410E44E3" w14:textId="77777777" w:rsidR="001D780E" w:rsidRPr="00D74B92" w:rsidRDefault="001D780E" w:rsidP="007F5EC6">
      <w:pPr>
        <w:pStyle w:val="Heading1"/>
        <w:numPr>
          <w:ilvl w:val="0"/>
          <w:numId w:val="0"/>
        </w:numPr>
        <w:ind w:left="432" w:hanging="432"/>
      </w:pPr>
      <w:r w:rsidRPr="00D74B92">
        <w:t>References</w:t>
      </w:r>
    </w:p>
    <w:bookmarkEnd w:id="3"/>
    <w:bookmarkEnd w:id="4"/>
    <w:bookmarkEnd w:id="5"/>
    <w:bookmarkEnd w:id="6"/>
    <w:p w14:paraId="40DC7CF9" w14:textId="0B2ECF35" w:rsidR="00834301" w:rsidRPr="000C2508" w:rsidRDefault="00834301" w:rsidP="000C2508">
      <w:pPr>
        <w:pStyle w:val="References"/>
        <w:tabs>
          <w:tab w:val="clear" w:pos="360"/>
        </w:tabs>
        <w:ind w:left="432" w:hanging="432"/>
        <w:jc w:val="left"/>
        <w:rPr>
          <w:rFonts w:eastAsiaTheme="minorEastAsia"/>
        </w:rPr>
      </w:pPr>
      <w:r>
        <w:rPr>
          <w:szCs w:val="20"/>
        </w:rPr>
        <w:t xml:space="preserve">SA2 draft document </w:t>
      </w:r>
      <w:r w:rsidRPr="003E3ECA">
        <w:rPr>
          <w:szCs w:val="20"/>
        </w:rPr>
        <w:t>XRM_KI45_view_collection_summary_v1</w:t>
      </w:r>
      <w:r>
        <w:rPr>
          <w:szCs w:val="20"/>
        </w:rPr>
        <w:t xml:space="preserve"> (</w:t>
      </w:r>
      <w:hyperlink r:id="rId11" w:history="1">
        <w:r w:rsidRPr="00B7701D">
          <w:rPr>
            <w:rStyle w:val="Hyperlink"/>
            <w:szCs w:val="20"/>
          </w:rPr>
          <w:t>https://www.3gpp.org/ftp/tsg_sa/WG2_Arch/TSGS2_153E_Electronic_2022-10/INBOX/DRAFTS/FS_XRM/XRM_KI45_view_collection_summary_v1.docx</w:t>
        </w:r>
      </w:hyperlink>
      <w:r>
        <w:rPr>
          <w:szCs w:val="20"/>
        </w:rPr>
        <w:t>).</w:t>
      </w:r>
    </w:p>
    <w:p w14:paraId="04FD93B0" w14:textId="51C93433" w:rsidR="00C651BD" w:rsidRDefault="00C651BD" w:rsidP="00C651BD">
      <w:pPr>
        <w:pStyle w:val="References"/>
        <w:numPr>
          <w:ilvl w:val="0"/>
          <w:numId w:val="0"/>
        </w:numPr>
        <w:ind w:left="360" w:hanging="360"/>
        <w:jc w:val="left"/>
        <w:rPr>
          <w:rFonts w:eastAsiaTheme="minorEastAsia"/>
        </w:rPr>
      </w:pPr>
    </w:p>
    <w:p w14:paraId="2EE47493" w14:textId="0D590266" w:rsidR="00C651BD" w:rsidRDefault="00C651BD" w:rsidP="00C651BD">
      <w:pPr>
        <w:pStyle w:val="References"/>
        <w:numPr>
          <w:ilvl w:val="0"/>
          <w:numId w:val="0"/>
        </w:numPr>
        <w:ind w:left="360" w:hanging="360"/>
        <w:jc w:val="left"/>
        <w:rPr>
          <w:rFonts w:eastAsiaTheme="minorEastAsia"/>
        </w:rPr>
      </w:pPr>
    </w:p>
    <w:p w14:paraId="2ABDB21C" w14:textId="4A66B8B5" w:rsidR="00C651BD" w:rsidRDefault="00C651BD">
      <w:pPr>
        <w:autoSpaceDE/>
        <w:autoSpaceDN/>
        <w:adjustRightInd/>
        <w:snapToGrid/>
        <w:spacing w:after="0"/>
        <w:jc w:val="left"/>
        <w:rPr>
          <w:rFonts w:eastAsiaTheme="minorEastAsia"/>
          <w:sz w:val="20"/>
          <w:szCs w:val="16"/>
        </w:rPr>
      </w:pPr>
      <w:r>
        <w:rPr>
          <w:rFonts w:eastAsiaTheme="minorEastAsia"/>
        </w:rPr>
        <w:br w:type="page"/>
      </w:r>
    </w:p>
    <w:p w14:paraId="3BEDE7F7" w14:textId="4795D368" w:rsidR="009B2365" w:rsidRDefault="009B2365" w:rsidP="009B2365">
      <w:pPr>
        <w:pStyle w:val="Heading1"/>
        <w:numPr>
          <w:ilvl w:val="0"/>
          <w:numId w:val="0"/>
        </w:numPr>
        <w:rPr>
          <w:sz w:val="36"/>
          <w:szCs w:val="20"/>
        </w:rPr>
      </w:pPr>
      <w:r>
        <w:lastRenderedPageBreak/>
        <w:t>Annex:</w:t>
      </w:r>
      <w:r w:rsidR="00834301">
        <w:t xml:space="preserve"> Proposed Text for TR 38.835</w:t>
      </w:r>
    </w:p>
    <w:p w14:paraId="30E8CBDE" w14:textId="77777777" w:rsidR="009B2365" w:rsidRDefault="009B2365" w:rsidP="009B2365"/>
    <w:p w14:paraId="6DE1D505" w14:textId="6DC2AD0C" w:rsidR="009B2365" w:rsidRDefault="009B2365" w:rsidP="009B2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Start of </w:t>
      </w:r>
      <w:r w:rsidR="00955755">
        <w:rPr>
          <w:i/>
        </w:rPr>
        <w:t>next text</w:t>
      </w:r>
    </w:p>
    <w:p w14:paraId="44E53B67" w14:textId="240CF8D6" w:rsidR="009B2365" w:rsidRDefault="00955755" w:rsidP="009B2365">
      <w:pPr>
        <w:pStyle w:val="Heading3"/>
        <w:numPr>
          <w:ilvl w:val="0"/>
          <w:numId w:val="0"/>
        </w:numPr>
        <w:ind w:left="720" w:hanging="720"/>
      </w:pPr>
      <w:r>
        <w:t>5</w:t>
      </w:r>
      <w:r w:rsidR="009B2365" w:rsidRPr="00F4543C">
        <w:t>.</w:t>
      </w:r>
      <w:r>
        <w:t>1</w:t>
      </w:r>
      <w:r w:rsidR="009B2365" w:rsidRPr="00F4543C">
        <w:t>.</w:t>
      </w:r>
      <w:r w:rsidR="009B2365">
        <w:t>x</w:t>
      </w:r>
      <w:r w:rsidR="009B2365" w:rsidRPr="00F4543C">
        <w:tab/>
      </w:r>
      <w:r>
        <w:t>PDU Sets to DRBs/LCHs mapping</w:t>
      </w:r>
    </w:p>
    <w:p w14:paraId="54F09A57" w14:textId="2950654A" w:rsidR="00955755" w:rsidRPr="001E46CC" w:rsidRDefault="00955755" w:rsidP="00955755">
      <w:pPr>
        <w:pStyle w:val="Heading3"/>
        <w:numPr>
          <w:ilvl w:val="0"/>
          <w:numId w:val="0"/>
        </w:numPr>
        <w:rPr>
          <w:rFonts w:ascii="Times New Roman" w:hAnsi="Times New Roman"/>
          <w:b w:val="0"/>
          <w:bCs/>
          <w:sz w:val="20"/>
          <w:szCs w:val="20"/>
        </w:rPr>
      </w:pPr>
      <w:r w:rsidRPr="001E46CC">
        <w:rPr>
          <w:rFonts w:ascii="Times New Roman" w:hAnsi="Times New Roman"/>
          <w:b w:val="0"/>
          <w:bCs/>
          <w:sz w:val="20"/>
          <w:szCs w:val="20"/>
        </w:rPr>
        <w:t xml:space="preserve">The following options </w:t>
      </w:r>
      <w:r w:rsidR="004211B8" w:rsidRPr="001E46CC">
        <w:rPr>
          <w:rFonts w:ascii="Times New Roman" w:hAnsi="Times New Roman"/>
          <w:b w:val="0"/>
          <w:bCs/>
          <w:sz w:val="20"/>
          <w:szCs w:val="20"/>
        </w:rPr>
        <w:t xml:space="preserve">(being evaluated by SA2) </w:t>
      </w:r>
      <w:r w:rsidRPr="001E46CC">
        <w:rPr>
          <w:rFonts w:ascii="Times New Roman" w:hAnsi="Times New Roman"/>
          <w:b w:val="0"/>
          <w:bCs/>
          <w:sz w:val="20"/>
          <w:szCs w:val="20"/>
        </w:rPr>
        <w:t xml:space="preserve">for </w:t>
      </w:r>
      <w:r w:rsidR="004211B8" w:rsidRPr="001E46CC">
        <w:rPr>
          <w:rFonts w:ascii="Times New Roman" w:hAnsi="Times New Roman"/>
          <w:b w:val="0"/>
          <w:bCs/>
          <w:sz w:val="20"/>
          <w:szCs w:val="20"/>
        </w:rPr>
        <w:t xml:space="preserve">UPF </w:t>
      </w:r>
      <w:r w:rsidRPr="001E46CC">
        <w:rPr>
          <w:rFonts w:ascii="Times New Roman" w:hAnsi="Times New Roman"/>
          <w:b w:val="0"/>
          <w:bCs/>
          <w:sz w:val="20"/>
          <w:szCs w:val="20"/>
        </w:rPr>
        <w:t>delivering PDU Set importance information to RAN are considered:</w:t>
      </w:r>
    </w:p>
    <w:p w14:paraId="2D5DE09C" w14:textId="77777777" w:rsidR="00955755" w:rsidRPr="001E46CC" w:rsidRDefault="00955755" w:rsidP="00955755">
      <w:pPr>
        <w:pStyle w:val="ListParagraph"/>
        <w:numPr>
          <w:ilvl w:val="0"/>
          <w:numId w:val="10"/>
        </w:numPr>
        <w:overflowPunct w:val="0"/>
        <w:autoSpaceDE w:val="0"/>
        <w:autoSpaceDN w:val="0"/>
        <w:adjustRightInd w:val="0"/>
        <w:spacing w:after="180" w:line="240" w:lineRule="auto"/>
        <w:ind w:left="840"/>
        <w:contextualSpacing w:val="0"/>
        <w:jc w:val="both"/>
        <w:textAlignment w:val="baseline"/>
        <w:rPr>
          <w:rFonts w:ascii="Times New Roman" w:eastAsiaTheme="minorEastAsia" w:hAnsi="Times New Roman"/>
          <w:sz w:val="20"/>
          <w:szCs w:val="20"/>
          <w:lang w:eastAsia="zh-CN"/>
        </w:rPr>
      </w:pPr>
      <w:r w:rsidRPr="001E46CC">
        <w:rPr>
          <w:rFonts w:ascii="Times New Roman" w:eastAsiaTheme="minorEastAsia" w:hAnsi="Times New Roman"/>
          <w:sz w:val="20"/>
          <w:szCs w:val="20"/>
          <w:lang w:eastAsia="zh-CN"/>
        </w:rPr>
        <w:t xml:space="preserve">Option 1: use different QoS Flows with different priority level. </w:t>
      </w:r>
      <w:r w:rsidRPr="001E46CC">
        <w:rPr>
          <w:rFonts w:ascii="Times New Roman" w:hAnsi="Times New Roman"/>
          <w:sz w:val="20"/>
          <w:szCs w:val="20"/>
          <w:lang w:val="en-US"/>
        </w:rPr>
        <w:t>PDU Set importance</w:t>
      </w:r>
      <w:r w:rsidRPr="001E46CC">
        <w:rPr>
          <w:rFonts w:ascii="Times New Roman" w:eastAsiaTheme="minorEastAsia" w:hAnsi="Times New Roman"/>
          <w:sz w:val="20"/>
          <w:szCs w:val="20"/>
          <w:lang w:eastAsia="zh-CN"/>
        </w:rPr>
        <w:t xml:space="preserve"> is mapped to existing QoS flow priority.</w:t>
      </w:r>
    </w:p>
    <w:p w14:paraId="057E94D2" w14:textId="2A4E594A" w:rsidR="00955755" w:rsidRPr="001E46CC" w:rsidRDefault="00955755" w:rsidP="00955755">
      <w:pPr>
        <w:pStyle w:val="ListParagraph"/>
        <w:numPr>
          <w:ilvl w:val="0"/>
          <w:numId w:val="10"/>
        </w:numPr>
        <w:overflowPunct w:val="0"/>
        <w:autoSpaceDE w:val="0"/>
        <w:autoSpaceDN w:val="0"/>
        <w:adjustRightInd w:val="0"/>
        <w:spacing w:after="180" w:line="240" w:lineRule="auto"/>
        <w:ind w:left="840"/>
        <w:contextualSpacing w:val="0"/>
        <w:jc w:val="both"/>
        <w:textAlignment w:val="baseline"/>
        <w:rPr>
          <w:rFonts w:ascii="Times New Roman" w:eastAsiaTheme="minorEastAsia" w:hAnsi="Times New Roman"/>
          <w:sz w:val="20"/>
          <w:szCs w:val="20"/>
          <w:lang w:eastAsia="zh-CN"/>
        </w:rPr>
      </w:pPr>
      <w:r w:rsidRPr="001E46CC">
        <w:rPr>
          <w:rFonts w:ascii="Times New Roman" w:eastAsiaTheme="minorEastAsia" w:hAnsi="Times New Roman"/>
          <w:sz w:val="20"/>
          <w:szCs w:val="20"/>
          <w:lang w:eastAsia="zh-CN"/>
        </w:rPr>
        <w:t>Option 2: use one QoS flow for different PDU Set with different priority level</w:t>
      </w:r>
      <w:r w:rsidR="001E46CC">
        <w:rPr>
          <w:rFonts w:ascii="Times New Roman" w:eastAsiaTheme="minorEastAsia" w:hAnsi="Times New Roman"/>
          <w:sz w:val="20"/>
          <w:szCs w:val="20"/>
          <w:lang w:eastAsia="zh-CN"/>
        </w:rPr>
        <w:t>.</w:t>
      </w:r>
    </w:p>
    <w:p w14:paraId="641FEF17" w14:textId="1AC446A0" w:rsidR="00955755" w:rsidRPr="001E46CC" w:rsidRDefault="00955755" w:rsidP="00955755">
      <w:pPr>
        <w:pStyle w:val="ListParagraph"/>
        <w:numPr>
          <w:ilvl w:val="1"/>
          <w:numId w:val="10"/>
        </w:numPr>
        <w:overflowPunct w:val="0"/>
        <w:autoSpaceDE w:val="0"/>
        <w:autoSpaceDN w:val="0"/>
        <w:adjustRightInd w:val="0"/>
        <w:spacing w:after="180" w:line="240" w:lineRule="auto"/>
        <w:ind w:left="1260"/>
        <w:contextualSpacing w:val="0"/>
        <w:jc w:val="both"/>
        <w:textAlignment w:val="baseline"/>
        <w:rPr>
          <w:rFonts w:ascii="Times New Roman" w:eastAsiaTheme="minorEastAsia" w:hAnsi="Times New Roman"/>
          <w:sz w:val="20"/>
          <w:szCs w:val="20"/>
          <w:lang w:eastAsia="zh-CN"/>
        </w:rPr>
      </w:pPr>
      <w:r w:rsidRPr="001E46CC">
        <w:rPr>
          <w:rFonts w:ascii="Times New Roman" w:eastAsiaTheme="minorEastAsia" w:hAnsi="Times New Roman"/>
          <w:sz w:val="20"/>
          <w:szCs w:val="20"/>
          <w:lang w:eastAsia="zh-CN"/>
        </w:rPr>
        <w:t>Option 2.1: use different sub-QoS Flow within one QoS Flow, and using sub-QoS flow Identifier in GTP-U header</w:t>
      </w:r>
      <w:r w:rsidR="001E46CC">
        <w:rPr>
          <w:rFonts w:ascii="Times New Roman" w:eastAsiaTheme="minorEastAsia" w:hAnsi="Times New Roman"/>
          <w:sz w:val="20"/>
          <w:szCs w:val="20"/>
          <w:lang w:eastAsia="zh-CN"/>
        </w:rPr>
        <w:t>.</w:t>
      </w:r>
    </w:p>
    <w:p w14:paraId="3824250A" w14:textId="76D61A53" w:rsidR="00955755" w:rsidRPr="001E46CC" w:rsidRDefault="00955755" w:rsidP="00955755">
      <w:pPr>
        <w:pStyle w:val="ListParagraph"/>
        <w:numPr>
          <w:ilvl w:val="1"/>
          <w:numId w:val="10"/>
        </w:numPr>
        <w:overflowPunct w:val="0"/>
        <w:autoSpaceDE w:val="0"/>
        <w:autoSpaceDN w:val="0"/>
        <w:adjustRightInd w:val="0"/>
        <w:spacing w:after="180" w:line="240" w:lineRule="auto"/>
        <w:ind w:left="1260"/>
        <w:contextualSpacing w:val="0"/>
        <w:jc w:val="both"/>
        <w:textAlignment w:val="baseline"/>
        <w:rPr>
          <w:rFonts w:ascii="Times New Roman" w:eastAsiaTheme="minorEastAsia" w:hAnsi="Times New Roman"/>
          <w:sz w:val="20"/>
          <w:szCs w:val="20"/>
          <w:lang w:eastAsia="zh-CN"/>
        </w:rPr>
      </w:pPr>
      <w:r w:rsidRPr="001E46CC">
        <w:rPr>
          <w:rFonts w:ascii="Times New Roman" w:eastAsiaTheme="minorEastAsia" w:hAnsi="Times New Roman"/>
          <w:sz w:val="20"/>
          <w:szCs w:val="20"/>
          <w:lang w:eastAsia="zh-CN"/>
        </w:rPr>
        <w:t>Option 2.2: use PDU Set importance information in GTP-U header</w:t>
      </w:r>
      <w:r w:rsidR="001E46CC">
        <w:rPr>
          <w:rFonts w:ascii="Times New Roman" w:eastAsiaTheme="minorEastAsia" w:hAnsi="Times New Roman"/>
          <w:sz w:val="20"/>
          <w:szCs w:val="20"/>
          <w:lang w:eastAsia="zh-CN"/>
        </w:rPr>
        <w:t>.</w:t>
      </w:r>
    </w:p>
    <w:p w14:paraId="115CECE9" w14:textId="27CE7633" w:rsidR="004211B8" w:rsidRDefault="00955755" w:rsidP="009B2365">
      <w:pPr>
        <w:pStyle w:val="Heading4"/>
        <w:numPr>
          <w:ilvl w:val="0"/>
          <w:numId w:val="0"/>
        </w:numPr>
        <w:ind w:left="864" w:hanging="864"/>
      </w:pPr>
      <w:r>
        <w:t>5</w:t>
      </w:r>
      <w:r w:rsidR="009B2365" w:rsidRPr="00F4543C">
        <w:t>.</w:t>
      </w:r>
      <w:r>
        <w:t>1</w:t>
      </w:r>
      <w:r w:rsidR="009B2365" w:rsidRPr="00F4543C">
        <w:t>.</w:t>
      </w:r>
      <w:r w:rsidR="004C2118">
        <w:t>x</w:t>
      </w:r>
      <w:r w:rsidR="009B2365" w:rsidRPr="00F4543C">
        <w:t>.1</w:t>
      </w:r>
      <w:r w:rsidR="009B2365" w:rsidRPr="00F4543C">
        <w:tab/>
      </w:r>
      <w:r w:rsidR="008872EC" w:rsidRPr="008872EC">
        <w:t xml:space="preserve">Option A (mapping to different DRBs </w:t>
      </w:r>
      <w:r w:rsidR="00B378C0">
        <w:t>for</w:t>
      </w:r>
      <w:r w:rsidR="008872EC" w:rsidRPr="008872EC">
        <w:t xml:space="preserve"> different QFIs by the SDAP entity)</w:t>
      </w:r>
    </w:p>
    <w:p w14:paraId="2980C539" w14:textId="77777777" w:rsidR="00343487" w:rsidRPr="00C90E35" w:rsidRDefault="00343487" w:rsidP="00343487">
      <w:pPr>
        <w:jc w:val="left"/>
        <w:rPr>
          <w:sz w:val="20"/>
          <w:szCs w:val="20"/>
        </w:rPr>
      </w:pPr>
      <w:r w:rsidRPr="00C90E35">
        <w:rPr>
          <w:sz w:val="20"/>
          <w:szCs w:val="20"/>
        </w:rPr>
        <w:t xml:space="preserve">Based on SA2 Option 1, </w:t>
      </w:r>
      <w:r>
        <w:rPr>
          <w:sz w:val="20"/>
          <w:szCs w:val="20"/>
        </w:rPr>
        <w:t xml:space="preserve">DL </w:t>
      </w:r>
      <w:r w:rsidRPr="00C90E35">
        <w:rPr>
          <w:sz w:val="20"/>
          <w:szCs w:val="20"/>
        </w:rPr>
        <w:t xml:space="preserve">packets belonging to PDU Sets of different importance levels (or different types of PDU Set) are already mapped onto different QoS flows by the UPF, as shown in Figure 1. Then, the SDAP entity can directly map DL packets to different DRBs based on their respective QFIs, as today. The gNB configures the different DRBs and the associated PDCP entities, RLC entities, and </w:t>
      </w:r>
      <w:r>
        <w:rPr>
          <w:sz w:val="20"/>
          <w:szCs w:val="20"/>
        </w:rPr>
        <w:t>LCH</w:t>
      </w:r>
      <w:r w:rsidRPr="00C90E35">
        <w:rPr>
          <w:sz w:val="20"/>
          <w:szCs w:val="20"/>
        </w:rPr>
        <w:t xml:space="preserve">s according to the QoS profiles provided by the SMF for the corresponding QoS flows and performs differential </w:t>
      </w:r>
      <w:r>
        <w:rPr>
          <w:sz w:val="20"/>
          <w:szCs w:val="20"/>
        </w:rPr>
        <w:t xml:space="preserve">QoS </w:t>
      </w:r>
      <w:r w:rsidRPr="00C90E35">
        <w:rPr>
          <w:sz w:val="20"/>
          <w:szCs w:val="20"/>
        </w:rPr>
        <w:t xml:space="preserve">handling accordingly. </w:t>
      </w:r>
    </w:p>
    <w:p w14:paraId="4C1AE596" w14:textId="77777777" w:rsidR="00343487" w:rsidRDefault="00343487" w:rsidP="00343487">
      <w:r>
        <w:rPr>
          <w:noProof/>
        </w:rPr>
        <w:drawing>
          <wp:inline distT="0" distB="0" distL="0" distR="0" wp14:anchorId="52B66C8B" wp14:editId="3B6EE205">
            <wp:extent cx="5892800" cy="1931501"/>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9068" cy="1940111"/>
                    </a:xfrm>
                    <a:prstGeom prst="rect">
                      <a:avLst/>
                    </a:prstGeom>
                    <a:noFill/>
                  </pic:spPr>
                </pic:pic>
              </a:graphicData>
            </a:graphic>
          </wp:inline>
        </w:drawing>
      </w:r>
    </w:p>
    <w:p w14:paraId="3EE68914" w14:textId="77777777" w:rsidR="00343487" w:rsidRDefault="00343487" w:rsidP="00343487">
      <w:pPr>
        <w:jc w:val="center"/>
        <w:rPr>
          <w:sz w:val="20"/>
          <w:szCs w:val="20"/>
        </w:rPr>
      </w:pPr>
      <w:r w:rsidRPr="00F459B7">
        <w:rPr>
          <w:sz w:val="20"/>
          <w:szCs w:val="20"/>
        </w:rPr>
        <w:t>Figure 1</w:t>
      </w:r>
      <w:r>
        <w:rPr>
          <w:sz w:val="20"/>
          <w:szCs w:val="20"/>
        </w:rPr>
        <w:t>. Option A</w:t>
      </w:r>
    </w:p>
    <w:p w14:paraId="064E551A" w14:textId="394E678A" w:rsidR="00776080" w:rsidRDefault="00776080" w:rsidP="00776080">
      <w:pPr>
        <w:rPr>
          <w:sz w:val="20"/>
          <w:szCs w:val="20"/>
        </w:rPr>
      </w:pPr>
      <w:r>
        <w:rPr>
          <w:sz w:val="20"/>
          <w:szCs w:val="20"/>
        </w:rPr>
        <w:t xml:space="preserve">This approach for mapping PDU sets to DRBs/LCHs can be considered for the UE to perform PDU Set mapping on the UL as well, except that for the UL, the UE performs the packet classification, based on new classification criteria in the QoS rules provided by the SMF. </w:t>
      </w:r>
    </w:p>
    <w:p w14:paraId="7DFD24D6" w14:textId="77777777" w:rsidR="00773078" w:rsidRPr="00C90E35" w:rsidRDefault="00773078" w:rsidP="00773078">
      <w:pPr>
        <w:rPr>
          <w:sz w:val="20"/>
          <w:szCs w:val="20"/>
        </w:rPr>
      </w:pPr>
      <w:r w:rsidRPr="00C90E35">
        <w:rPr>
          <w:sz w:val="20"/>
          <w:szCs w:val="20"/>
        </w:rPr>
        <w:t xml:space="preserve">Based on SA2 Option 2, </w:t>
      </w:r>
      <w:r>
        <w:rPr>
          <w:sz w:val="20"/>
          <w:szCs w:val="20"/>
        </w:rPr>
        <w:t xml:space="preserve">DL </w:t>
      </w:r>
      <w:r w:rsidRPr="00C90E35">
        <w:rPr>
          <w:sz w:val="20"/>
          <w:szCs w:val="20"/>
        </w:rPr>
        <w:t>packets belonging to PDU Sets of different importance levels (or different types of PDU Set) of a same PDU session are mapped onto the same QoS flow but each packet additionally attached with an associated sub-QFI (SA2 Option 2.1) or Importance (SA2 Option 2.2) value</w:t>
      </w:r>
      <w:r>
        <w:rPr>
          <w:sz w:val="20"/>
          <w:szCs w:val="20"/>
        </w:rPr>
        <w:t>, which is determined by the UPF and</w:t>
      </w:r>
      <w:r w:rsidRPr="00C90E35">
        <w:rPr>
          <w:sz w:val="20"/>
          <w:szCs w:val="20"/>
        </w:rPr>
        <w:t xml:space="preserve"> indicat</w:t>
      </w:r>
      <w:r>
        <w:rPr>
          <w:sz w:val="20"/>
          <w:szCs w:val="20"/>
        </w:rPr>
        <w:t>es</w:t>
      </w:r>
      <w:r w:rsidRPr="00C90E35">
        <w:rPr>
          <w:sz w:val="20"/>
          <w:szCs w:val="20"/>
        </w:rPr>
        <w:t xml:space="preserve"> the importance level implicitly </w:t>
      </w:r>
      <w:r>
        <w:rPr>
          <w:sz w:val="20"/>
          <w:szCs w:val="20"/>
        </w:rPr>
        <w:t xml:space="preserve">(2.1) </w:t>
      </w:r>
      <w:r w:rsidRPr="00C90E35">
        <w:rPr>
          <w:sz w:val="20"/>
          <w:szCs w:val="20"/>
        </w:rPr>
        <w:t>or explicitly</w:t>
      </w:r>
      <w:r>
        <w:rPr>
          <w:sz w:val="20"/>
          <w:szCs w:val="20"/>
        </w:rPr>
        <w:t xml:space="preserve"> (2.2)</w:t>
      </w:r>
      <w:r w:rsidRPr="00C90E35">
        <w:rPr>
          <w:sz w:val="20"/>
          <w:szCs w:val="20"/>
        </w:rPr>
        <w:t xml:space="preserve"> for </w:t>
      </w:r>
      <w:r>
        <w:rPr>
          <w:sz w:val="20"/>
          <w:szCs w:val="20"/>
        </w:rPr>
        <w:t xml:space="preserve">RAN to perform </w:t>
      </w:r>
      <w:r w:rsidRPr="00C90E35">
        <w:rPr>
          <w:sz w:val="20"/>
          <w:szCs w:val="20"/>
        </w:rPr>
        <w:t xml:space="preserve">differential </w:t>
      </w:r>
      <w:r>
        <w:rPr>
          <w:sz w:val="20"/>
          <w:szCs w:val="20"/>
        </w:rPr>
        <w:t>QoS</w:t>
      </w:r>
      <w:r w:rsidRPr="00C90E35">
        <w:rPr>
          <w:sz w:val="20"/>
          <w:szCs w:val="20"/>
        </w:rPr>
        <w:t xml:space="preserve"> handling. </w:t>
      </w:r>
      <w:r>
        <w:rPr>
          <w:sz w:val="20"/>
          <w:szCs w:val="20"/>
        </w:rPr>
        <w:t>In this case, t</w:t>
      </w:r>
      <w:r w:rsidRPr="00C90E35">
        <w:rPr>
          <w:sz w:val="20"/>
          <w:szCs w:val="20"/>
        </w:rPr>
        <w:t xml:space="preserve">here are two options for performing PDU Set mapping: Option </w:t>
      </w:r>
      <w:r>
        <w:rPr>
          <w:sz w:val="20"/>
          <w:szCs w:val="20"/>
        </w:rPr>
        <w:t>B</w:t>
      </w:r>
      <w:r w:rsidRPr="00C90E35">
        <w:rPr>
          <w:sz w:val="20"/>
          <w:szCs w:val="20"/>
        </w:rPr>
        <w:t xml:space="preserve"> and </w:t>
      </w:r>
      <w:r>
        <w:rPr>
          <w:sz w:val="20"/>
          <w:szCs w:val="20"/>
        </w:rPr>
        <w:t>Option C, as described below.</w:t>
      </w:r>
    </w:p>
    <w:p w14:paraId="6325AF81" w14:textId="54EFCBFA" w:rsidR="00C16CEF" w:rsidRDefault="004211B8" w:rsidP="00C16CEF">
      <w:pPr>
        <w:pStyle w:val="Heading4"/>
        <w:numPr>
          <w:ilvl w:val="0"/>
          <w:numId w:val="0"/>
        </w:numPr>
        <w:ind w:left="864" w:hanging="864"/>
      </w:pPr>
      <w:r>
        <w:t>5</w:t>
      </w:r>
      <w:r w:rsidRPr="00F4543C">
        <w:t>.</w:t>
      </w:r>
      <w:r>
        <w:t>1</w:t>
      </w:r>
      <w:r w:rsidRPr="00F4543C">
        <w:t>.</w:t>
      </w:r>
      <w:r w:rsidR="004C2118">
        <w:t>x</w:t>
      </w:r>
      <w:r w:rsidRPr="00F4543C">
        <w:t>.</w:t>
      </w:r>
      <w:r>
        <w:t>2</w:t>
      </w:r>
      <w:r w:rsidRPr="00F4543C">
        <w:tab/>
      </w:r>
      <w:r>
        <w:t xml:space="preserve">Option </w:t>
      </w:r>
      <w:r w:rsidR="009666E5">
        <w:t>B</w:t>
      </w:r>
      <w:r w:rsidR="00C16CEF">
        <w:t xml:space="preserve"> (</w:t>
      </w:r>
      <w:r w:rsidR="004C249E">
        <w:t>mapping to</w:t>
      </w:r>
      <w:r w:rsidR="00C16CEF">
        <w:t xml:space="preserve"> different DRBs </w:t>
      </w:r>
      <w:r w:rsidR="00B378C0">
        <w:t>for</w:t>
      </w:r>
      <w:r w:rsidR="004C249E">
        <w:t xml:space="preserve"> </w:t>
      </w:r>
      <w:r w:rsidR="008872EC">
        <w:t>different</w:t>
      </w:r>
      <w:r w:rsidR="004C249E">
        <w:t xml:space="preserve"> sub-QF</w:t>
      </w:r>
      <w:r w:rsidR="008872EC">
        <w:t xml:space="preserve">Is or </w:t>
      </w:r>
      <w:r w:rsidR="004C249E">
        <w:t xml:space="preserve">Importance </w:t>
      </w:r>
      <w:r w:rsidR="008872EC">
        <w:t>values by the SDAP entity</w:t>
      </w:r>
      <w:r w:rsidR="00C16CEF">
        <w:t>)</w:t>
      </w:r>
    </w:p>
    <w:p w14:paraId="46FEB2C2" w14:textId="77777777" w:rsidR="00257F52" w:rsidRPr="00C90E35" w:rsidRDefault="00257F52" w:rsidP="00257F52">
      <w:pPr>
        <w:rPr>
          <w:sz w:val="20"/>
          <w:szCs w:val="20"/>
        </w:rPr>
      </w:pPr>
      <w:r w:rsidRPr="00C90E35">
        <w:rPr>
          <w:sz w:val="20"/>
          <w:szCs w:val="20"/>
        </w:rPr>
        <w:t xml:space="preserve">In Option </w:t>
      </w:r>
      <w:r>
        <w:rPr>
          <w:sz w:val="20"/>
          <w:szCs w:val="20"/>
        </w:rPr>
        <w:t>B</w:t>
      </w:r>
      <w:r w:rsidRPr="00C90E35">
        <w:rPr>
          <w:sz w:val="20"/>
          <w:szCs w:val="20"/>
        </w:rPr>
        <w:t xml:space="preserve">, the SDAP entity maps packets of the same QoS flow (configured for differential QoS handling) but associated with different sub-QFI (2.1) or Importance (2.2) values onto different DRBs, as shown in Figure 2. The gNB configures the different DRBs and the associated PDCP entities, RLC entities, and </w:t>
      </w:r>
      <w:r>
        <w:rPr>
          <w:sz w:val="20"/>
          <w:szCs w:val="20"/>
        </w:rPr>
        <w:t>LCH</w:t>
      </w:r>
      <w:r w:rsidRPr="00C90E35">
        <w:rPr>
          <w:sz w:val="20"/>
          <w:szCs w:val="20"/>
        </w:rPr>
        <w:t xml:space="preserve">s according to the QoS profiles provided by the SMF for the corresponding QoS flows and performs differential </w:t>
      </w:r>
      <w:r>
        <w:rPr>
          <w:sz w:val="20"/>
          <w:szCs w:val="20"/>
        </w:rPr>
        <w:t>QoS</w:t>
      </w:r>
      <w:r w:rsidRPr="00C90E35">
        <w:rPr>
          <w:sz w:val="20"/>
          <w:szCs w:val="20"/>
        </w:rPr>
        <w:t xml:space="preserve"> handling accordingly. In this</w:t>
      </w:r>
      <w:r>
        <w:rPr>
          <w:sz w:val="20"/>
          <w:szCs w:val="20"/>
        </w:rPr>
        <w:t xml:space="preserve"> option</w:t>
      </w:r>
      <w:r w:rsidRPr="00C90E35">
        <w:rPr>
          <w:sz w:val="20"/>
          <w:szCs w:val="20"/>
        </w:rPr>
        <w:t>, the QoS flow to radio bearer mapping function in the SDAP entity needs to be enhanced</w:t>
      </w:r>
      <w:r>
        <w:rPr>
          <w:sz w:val="20"/>
          <w:szCs w:val="20"/>
        </w:rPr>
        <w:t xml:space="preserve"> with additional mapping behaviors</w:t>
      </w:r>
      <w:r w:rsidRPr="00C90E35">
        <w:rPr>
          <w:sz w:val="20"/>
          <w:szCs w:val="20"/>
        </w:rPr>
        <w:t>. Hence</w:t>
      </w:r>
      <w:r>
        <w:rPr>
          <w:sz w:val="20"/>
          <w:szCs w:val="20"/>
        </w:rPr>
        <w:t>,</w:t>
      </w:r>
      <w:r w:rsidRPr="00C90E35">
        <w:rPr>
          <w:sz w:val="20"/>
          <w:szCs w:val="20"/>
        </w:rPr>
        <w:t xml:space="preserve"> there is impact to SDAP spec (</w:t>
      </w:r>
      <w:r>
        <w:rPr>
          <w:sz w:val="20"/>
          <w:szCs w:val="20"/>
        </w:rPr>
        <w:t xml:space="preserve">TS </w:t>
      </w:r>
      <w:r w:rsidRPr="00C90E35">
        <w:rPr>
          <w:sz w:val="20"/>
          <w:szCs w:val="20"/>
        </w:rPr>
        <w:t>37.324).</w:t>
      </w:r>
    </w:p>
    <w:p w14:paraId="765EAEDC" w14:textId="77777777" w:rsidR="00ED1405" w:rsidRDefault="00ED1405" w:rsidP="00ED1405">
      <w:r>
        <w:rPr>
          <w:noProof/>
        </w:rPr>
        <w:lastRenderedPageBreak/>
        <w:drawing>
          <wp:inline distT="0" distB="0" distL="0" distR="0" wp14:anchorId="43D5E917" wp14:editId="005BF8B1">
            <wp:extent cx="5892800" cy="1931505"/>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2059" cy="1947651"/>
                    </a:xfrm>
                    <a:prstGeom prst="rect">
                      <a:avLst/>
                    </a:prstGeom>
                    <a:noFill/>
                  </pic:spPr>
                </pic:pic>
              </a:graphicData>
            </a:graphic>
          </wp:inline>
        </w:drawing>
      </w:r>
    </w:p>
    <w:p w14:paraId="296732C5" w14:textId="77777777" w:rsidR="00ED1405" w:rsidRDefault="00ED1405" w:rsidP="00ED1405">
      <w:pPr>
        <w:jc w:val="center"/>
        <w:rPr>
          <w:sz w:val="20"/>
          <w:szCs w:val="20"/>
        </w:rPr>
      </w:pPr>
      <w:r w:rsidRPr="00F459B7">
        <w:rPr>
          <w:sz w:val="20"/>
          <w:szCs w:val="20"/>
        </w:rPr>
        <w:t xml:space="preserve">Figure </w:t>
      </w:r>
      <w:r>
        <w:rPr>
          <w:sz w:val="20"/>
          <w:szCs w:val="20"/>
        </w:rPr>
        <w:t>2. Option B</w:t>
      </w:r>
    </w:p>
    <w:p w14:paraId="0623689E" w14:textId="179DD6C0" w:rsidR="00776080" w:rsidRDefault="00776080" w:rsidP="00776080">
      <w:pPr>
        <w:rPr>
          <w:sz w:val="20"/>
          <w:szCs w:val="20"/>
        </w:rPr>
      </w:pPr>
      <w:r>
        <w:rPr>
          <w:sz w:val="20"/>
          <w:szCs w:val="20"/>
        </w:rPr>
        <w:t xml:space="preserve">This approach for mapping PDU sets to DRBs/LCHs can be considered for the UE to perform PDU Set mapping on the UL as well, except that for the UL, the UE performs the packet classification, based on new classification criteria in the QoS rules provided by the SMF. </w:t>
      </w:r>
    </w:p>
    <w:p w14:paraId="05615312" w14:textId="08069A5B" w:rsidR="001B586B" w:rsidRDefault="001B586B" w:rsidP="001B586B">
      <w:pPr>
        <w:pStyle w:val="Heading4"/>
        <w:numPr>
          <w:ilvl w:val="0"/>
          <w:numId w:val="0"/>
        </w:numPr>
        <w:ind w:left="864" w:hanging="864"/>
      </w:pPr>
      <w:r>
        <w:t>5</w:t>
      </w:r>
      <w:r w:rsidRPr="00F4543C">
        <w:t>.</w:t>
      </w:r>
      <w:r>
        <w:t>1</w:t>
      </w:r>
      <w:r w:rsidRPr="00F4543C">
        <w:t>.</w:t>
      </w:r>
      <w:r>
        <w:t>x</w:t>
      </w:r>
      <w:r w:rsidRPr="00F4543C">
        <w:t>.</w:t>
      </w:r>
      <w:r>
        <w:t>3</w:t>
      </w:r>
      <w:r w:rsidRPr="00F4543C">
        <w:tab/>
      </w:r>
      <w:r>
        <w:t>Option C (</w:t>
      </w:r>
      <w:r w:rsidR="004C249E">
        <w:t xml:space="preserve">mapping to </w:t>
      </w:r>
      <w:r>
        <w:t>different RL</w:t>
      </w:r>
      <w:r w:rsidR="008872EC">
        <w:t>C</w:t>
      </w:r>
      <w:r w:rsidR="00B617FB">
        <w:t>s/LCHs</w:t>
      </w:r>
      <w:r w:rsidR="004C249E">
        <w:t xml:space="preserve"> associated with the same </w:t>
      </w:r>
      <w:r w:rsidR="00B617FB">
        <w:t>PDCP/</w:t>
      </w:r>
      <w:r w:rsidR="004C249E">
        <w:t xml:space="preserve">DRB </w:t>
      </w:r>
      <w:r w:rsidR="00B378C0">
        <w:t>for</w:t>
      </w:r>
      <w:r w:rsidR="004C249E">
        <w:t xml:space="preserve"> </w:t>
      </w:r>
      <w:r w:rsidR="008872EC">
        <w:t>different</w:t>
      </w:r>
      <w:r w:rsidR="004C249E">
        <w:t xml:space="preserve"> sub-QFI</w:t>
      </w:r>
      <w:r w:rsidR="008872EC">
        <w:t>s</w:t>
      </w:r>
      <w:r w:rsidR="004C249E">
        <w:t xml:space="preserve"> or Importance </w:t>
      </w:r>
      <w:r w:rsidR="008872EC">
        <w:t>value</w:t>
      </w:r>
      <w:r w:rsidR="00B617FB">
        <w:t>s</w:t>
      </w:r>
      <w:r w:rsidR="008872EC">
        <w:t xml:space="preserve"> by the PDCP entity</w:t>
      </w:r>
      <w:r>
        <w:t>)</w:t>
      </w:r>
    </w:p>
    <w:p w14:paraId="45E465D1" w14:textId="77777777" w:rsidR="00ED1405" w:rsidRPr="0019037E" w:rsidRDefault="00ED1405" w:rsidP="00ED1405">
      <w:pPr>
        <w:rPr>
          <w:sz w:val="20"/>
          <w:szCs w:val="20"/>
        </w:rPr>
      </w:pPr>
      <w:r w:rsidRPr="0019037E">
        <w:rPr>
          <w:sz w:val="20"/>
          <w:szCs w:val="20"/>
        </w:rPr>
        <w:t xml:space="preserve">In Option </w:t>
      </w:r>
      <w:r>
        <w:rPr>
          <w:sz w:val="20"/>
          <w:szCs w:val="20"/>
        </w:rPr>
        <w:t>C</w:t>
      </w:r>
      <w:r w:rsidRPr="0019037E">
        <w:rPr>
          <w:sz w:val="20"/>
          <w:szCs w:val="20"/>
        </w:rPr>
        <w:t>, the SDAP entity maps packets of the same QoS flow (configured for differential QoS handling) onto the same DRB and passes them along with the associated sub-QFI (</w:t>
      </w:r>
      <w:r>
        <w:rPr>
          <w:sz w:val="20"/>
          <w:szCs w:val="20"/>
        </w:rPr>
        <w:t>2</w:t>
      </w:r>
      <w:r w:rsidRPr="0019037E">
        <w:rPr>
          <w:sz w:val="20"/>
          <w:szCs w:val="20"/>
        </w:rPr>
        <w:t>.1) or Importance (2.2) values to the PDCP entity serving the DRB. The gNB configures the PDCP entit</w:t>
      </w:r>
      <w:r>
        <w:rPr>
          <w:sz w:val="20"/>
          <w:szCs w:val="20"/>
        </w:rPr>
        <w:t>y to be associated with multiple RLC entit</w:t>
      </w:r>
      <w:r w:rsidRPr="0019037E">
        <w:rPr>
          <w:sz w:val="20"/>
          <w:szCs w:val="20"/>
        </w:rPr>
        <w:t>ies</w:t>
      </w:r>
      <w:r>
        <w:rPr>
          <w:sz w:val="20"/>
          <w:szCs w:val="20"/>
        </w:rPr>
        <w:t xml:space="preserve"> (and hence multiple LCHs). The gNB configures the multiple</w:t>
      </w:r>
      <w:r w:rsidRPr="0019037E">
        <w:rPr>
          <w:sz w:val="20"/>
          <w:szCs w:val="20"/>
        </w:rPr>
        <w:t xml:space="preserve"> RLC entities and </w:t>
      </w:r>
      <w:r>
        <w:rPr>
          <w:sz w:val="20"/>
          <w:szCs w:val="20"/>
        </w:rPr>
        <w:t>LCHs</w:t>
      </w:r>
      <w:r w:rsidRPr="0019037E">
        <w:rPr>
          <w:sz w:val="20"/>
          <w:szCs w:val="20"/>
        </w:rPr>
        <w:t xml:space="preserve"> according to the </w:t>
      </w:r>
      <w:r>
        <w:rPr>
          <w:sz w:val="20"/>
          <w:szCs w:val="20"/>
        </w:rPr>
        <w:t>sub-</w:t>
      </w:r>
      <w:r w:rsidRPr="0019037E">
        <w:rPr>
          <w:sz w:val="20"/>
          <w:szCs w:val="20"/>
        </w:rPr>
        <w:t xml:space="preserve">QoS profiles provided by the SMF for the corresponding </w:t>
      </w:r>
      <w:r>
        <w:rPr>
          <w:sz w:val="20"/>
          <w:szCs w:val="20"/>
        </w:rPr>
        <w:t>sub-</w:t>
      </w:r>
      <w:r w:rsidRPr="0019037E">
        <w:rPr>
          <w:sz w:val="20"/>
          <w:szCs w:val="20"/>
        </w:rPr>
        <w:t xml:space="preserve">QoS flows </w:t>
      </w:r>
      <w:r>
        <w:rPr>
          <w:sz w:val="20"/>
          <w:szCs w:val="20"/>
        </w:rPr>
        <w:t xml:space="preserve">(2.1) or Importance levels (2.2). </w:t>
      </w:r>
      <w:r w:rsidRPr="0019037E">
        <w:rPr>
          <w:sz w:val="20"/>
          <w:szCs w:val="20"/>
        </w:rPr>
        <w:t xml:space="preserve">The PDCP entity routes </w:t>
      </w:r>
      <w:r>
        <w:rPr>
          <w:sz w:val="20"/>
          <w:szCs w:val="20"/>
        </w:rPr>
        <w:t>a</w:t>
      </w:r>
      <w:r w:rsidRPr="0019037E">
        <w:rPr>
          <w:sz w:val="20"/>
          <w:szCs w:val="20"/>
        </w:rPr>
        <w:t xml:space="preserve"> produced PDCP PDU to </w:t>
      </w:r>
      <w:r>
        <w:rPr>
          <w:sz w:val="20"/>
          <w:szCs w:val="20"/>
        </w:rPr>
        <w:t>an associated</w:t>
      </w:r>
      <w:r w:rsidRPr="0019037E">
        <w:rPr>
          <w:sz w:val="20"/>
          <w:szCs w:val="20"/>
        </w:rPr>
        <w:t xml:space="preserve"> RLC entit</w:t>
      </w:r>
      <w:r>
        <w:rPr>
          <w:sz w:val="20"/>
          <w:szCs w:val="20"/>
        </w:rPr>
        <w:t>y</w:t>
      </w:r>
      <w:r w:rsidRPr="0019037E">
        <w:rPr>
          <w:sz w:val="20"/>
          <w:szCs w:val="20"/>
        </w:rPr>
        <w:t xml:space="preserve"> based on the associated sub-QFI or Importance value, as shown in Figure 3</w:t>
      </w:r>
      <w:r>
        <w:rPr>
          <w:sz w:val="20"/>
          <w:szCs w:val="20"/>
        </w:rPr>
        <w:t xml:space="preserve">, and the lower layers perform </w:t>
      </w:r>
      <w:r w:rsidRPr="0019037E">
        <w:rPr>
          <w:sz w:val="20"/>
          <w:szCs w:val="20"/>
        </w:rPr>
        <w:t xml:space="preserve">differential </w:t>
      </w:r>
      <w:r>
        <w:rPr>
          <w:sz w:val="20"/>
          <w:szCs w:val="20"/>
        </w:rPr>
        <w:t>QoS</w:t>
      </w:r>
      <w:r w:rsidRPr="0019037E">
        <w:rPr>
          <w:sz w:val="20"/>
          <w:szCs w:val="20"/>
        </w:rPr>
        <w:t xml:space="preserve"> handling accordingly.</w:t>
      </w:r>
      <w:r>
        <w:rPr>
          <w:sz w:val="20"/>
          <w:szCs w:val="20"/>
        </w:rPr>
        <w:t xml:space="preserve"> </w:t>
      </w:r>
      <w:r w:rsidRPr="0019037E">
        <w:rPr>
          <w:sz w:val="20"/>
          <w:szCs w:val="20"/>
        </w:rPr>
        <w:t xml:space="preserve">In this </w:t>
      </w:r>
      <w:r>
        <w:rPr>
          <w:sz w:val="20"/>
          <w:szCs w:val="20"/>
        </w:rPr>
        <w:t>option</w:t>
      </w:r>
      <w:r w:rsidRPr="0019037E">
        <w:rPr>
          <w:sz w:val="20"/>
          <w:szCs w:val="20"/>
        </w:rPr>
        <w:t xml:space="preserve">, the </w:t>
      </w:r>
      <w:r>
        <w:rPr>
          <w:sz w:val="20"/>
          <w:szCs w:val="20"/>
        </w:rPr>
        <w:t xml:space="preserve">routing </w:t>
      </w:r>
      <w:r w:rsidRPr="0019037E">
        <w:rPr>
          <w:sz w:val="20"/>
          <w:szCs w:val="20"/>
        </w:rPr>
        <w:t>function in the</w:t>
      </w:r>
      <w:r>
        <w:rPr>
          <w:sz w:val="20"/>
          <w:szCs w:val="20"/>
        </w:rPr>
        <w:t xml:space="preserve"> PDCP</w:t>
      </w:r>
      <w:r w:rsidRPr="0019037E">
        <w:rPr>
          <w:sz w:val="20"/>
          <w:szCs w:val="20"/>
        </w:rPr>
        <w:t xml:space="preserve"> entity needs to be enhanced</w:t>
      </w:r>
      <w:r>
        <w:rPr>
          <w:sz w:val="20"/>
          <w:szCs w:val="20"/>
        </w:rPr>
        <w:t xml:space="preserve"> with additional routing behaviors</w:t>
      </w:r>
      <w:r w:rsidRPr="0019037E">
        <w:rPr>
          <w:sz w:val="20"/>
          <w:szCs w:val="20"/>
        </w:rPr>
        <w:t>. Hence</w:t>
      </w:r>
      <w:r>
        <w:rPr>
          <w:sz w:val="20"/>
          <w:szCs w:val="20"/>
        </w:rPr>
        <w:t>,</w:t>
      </w:r>
      <w:r w:rsidRPr="0019037E">
        <w:rPr>
          <w:sz w:val="20"/>
          <w:szCs w:val="20"/>
        </w:rPr>
        <w:t xml:space="preserve"> there is impact to </w:t>
      </w:r>
      <w:r>
        <w:rPr>
          <w:sz w:val="20"/>
          <w:szCs w:val="20"/>
        </w:rPr>
        <w:t>PDCP</w:t>
      </w:r>
      <w:r w:rsidRPr="0019037E">
        <w:rPr>
          <w:sz w:val="20"/>
          <w:szCs w:val="20"/>
        </w:rPr>
        <w:t xml:space="preserve"> spec (</w:t>
      </w:r>
      <w:r>
        <w:rPr>
          <w:sz w:val="20"/>
          <w:szCs w:val="20"/>
        </w:rPr>
        <w:t xml:space="preserve">TS </w:t>
      </w:r>
      <w:r w:rsidRPr="0019037E">
        <w:rPr>
          <w:sz w:val="20"/>
          <w:szCs w:val="20"/>
        </w:rPr>
        <w:t>3</w:t>
      </w:r>
      <w:r>
        <w:rPr>
          <w:sz w:val="20"/>
          <w:szCs w:val="20"/>
        </w:rPr>
        <w:t>8</w:t>
      </w:r>
      <w:r w:rsidRPr="0019037E">
        <w:rPr>
          <w:sz w:val="20"/>
          <w:szCs w:val="20"/>
        </w:rPr>
        <w:t>.32</w:t>
      </w:r>
      <w:r>
        <w:rPr>
          <w:sz w:val="20"/>
          <w:szCs w:val="20"/>
        </w:rPr>
        <w:t>3</w:t>
      </w:r>
      <w:r w:rsidRPr="0019037E">
        <w:rPr>
          <w:sz w:val="20"/>
          <w:szCs w:val="20"/>
        </w:rPr>
        <w:t>).</w:t>
      </w:r>
    </w:p>
    <w:p w14:paraId="6622E2C2" w14:textId="77777777" w:rsidR="00ED1405" w:rsidRDefault="00ED1405" w:rsidP="00ED1405">
      <w:r>
        <w:rPr>
          <w:noProof/>
        </w:rPr>
        <w:drawing>
          <wp:inline distT="0" distB="0" distL="0" distR="0" wp14:anchorId="3EB9BBA6" wp14:editId="7660B43B">
            <wp:extent cx="5886450" cy="1929422"/>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02650" cy="1934732"/>
                    </a:xfrm>
                    <a:prstGeom prst="rect">
                      <a:avLst/>
                    </a:prstGeom>
                    <a:noFill/>
                  </pic:spPr>
                </pic:pic>
              </a:graphicData>
            </a:graphic>
          </wp:inline>
        </w:drawing>
      </w:r>
    </w:p>
    <w:p w14:paraId="63621287" w14:textId="77777777" w:rsidR="00ED1405" w:rsidRDefault="00ED1405" w:rsidP="00ED1405">
      <w:pPr>
        <w:jc w:val="center"/>
        <w:rPr>
          <w:sz w:val="20"/>
          <w:szCs w:val="20"/>
        </w:rPr>
      </w:pPr>
      <w:r w:rsidRPr="00F459B7">
        <w:rPr>
          <w:sz w:val="20"/>
          <w:szCs w:val="20"/>
        </w:rPr>
        <w:t xml:space="preserve">Figure </w:t>
      </w:r>
      <w:r>
        <w:rPr>
          <w:sz w:val="20"/>
          <w:szCs w:val="20"/>
        </w:rPr>
        <w:t>3. Option C</w:t>
      </w:r>
    </w:p>
    <w:p w14:paraId="17712249" w14:textId="0B7382B6" w:rsidR="00776080" w:rsidRDefault="00776080" w:rsidP="00776080">
      <w:pPr>
        <w:rPr>
          <w:sz w:val="20"/>
          <w:szCs w:val="20"/>
        </w:rPr>
      </w:pPr>
      <w:r>
        <w:rPr>
          <w:sz w:val="20"/>
          <w:szCs w:val="20"/>
        </w:rPr>
        <w:t xml:space="preserve">This approach for mapping PDU sets to DRBs/LCHs can be considered for the UE to perform PDU Set mapping on the UL as well, except that for the UL, the UE performs the packet classification, based on new classification criteria in the QoS rules provided by the SMF. </w:t>
      </w:r>
    </w:p>
    <w:p w14:paraId="61C8DE1B" w14:textId="715244C1" w:rsidR="00C651BD" w:rsidRPr="009B2365" w:rsidRDefault="009B2365" w:rsidP="009B2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r w:rsidR="004211B8">
        <w:rPr>
          <w:i/>
        </w:rPr>
        <w:t>new text</w:t>
      </w:r>
    </w:p>
    <w:p w14:paraId="61C0ADDA" w14:textId="3812B8B3" w:rsidR="007A04E7" w:rsidRPr="00424C69" w:rsidRDefault="007A04E7" w:rsidP="00424C69">
      <w:pPr>
        <w:autoSpaceDE/>
        <w:autoSpaceDN/>
        <w:adjustRightInd/>
        <w:snapToGrid/>
        <w:spacing w:after="0"/>
        <w:jc w:val="left"/>
        <w:rPr>
          <w:rFonts w:eastAsiaTheme="minorEastAsia"/>
          <w:sz w:val="20"/>
          <w:szCs w:val="16"/>
        </w:rPr>
      </w:pPr>
    </w:p>
    <w:sectPr w:rsidR="007A04E7" w:rsidRPr="00424C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A78CB" w14:textId="77777777" w:rsidR="00666BE8" w:rsidRDefault="00666BE8">
      <w:r>
        <w:separator/>
      </w:r>
    </w:p>
  </w:endnote>
  <w:endnote w:type="continuationSeparator" w:id="0">
    <w:p w14:paraId="59F9997D" w14:textId="77777777" w:rsidR="00666BE8" w:rsidRDefault="0066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4E519" w14:textId="77777777" w:rsidR="00666BE8" w:rsidRDefault="00666BE8">
      <w:r>
        <w:separator/>
      </w:r>
    </w:p>
  </w:footnote>
  <w:footnote w:type="continuationSeparator" w:id="0">
    <w:p w14:paraId="39438A95" w14:textId="77777777" w:rsidR="00666BE8" w:rsidRDefault="00666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8A74CE"/>
    <w:multiLevelType w:val="hybridMultilevel"/>
    <w:tmpl w:val="FAD67DD8"/>
    <w:lvl w:ilvl="0" w:tplc="0C74376E">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57475944">
    <w:abstractNumId w:val="4"/>
  </w:num>
  <w:num w:numId="2" w16cid:durableId="969243715">
    <w:abstractNumId w:val="2"/>
  </w:num>
  <w:num w:numId="3" w16cid:durableId="1639021768">
    <w:abstractNumId w:val="8"/>
  </w:num>
  <w:num w:numId="4" w16cid:durableId="312639085">
    <w:abstractNumId w:val="5"/>
  </w:num>
  <w:num w:numId="5" w16cid:durableId="600726650">
    <w:abstractNumId w:val="0"/>
  </w:num>
  <w:num w:numId="6" w16cid:durableId="863712249">
    <w:abstractNumId w:val="1"/>
  </w:num>
  <w:num w:numId="7" w16cid:durableId="677392059">
    <w:abstractNumId w:val="9"/>
  </w:num>
  <w:num w:numId="8" w16cid:durableId="186721096">
    <w:abstractNumId w:val="6"/>
  </w:num>
  <w:num w:numId="9" w16cid:durableId="419060538">
    <w:abstractNumId w:val="3"/>
  </w:num>
  <w:num w:numId="10" w16cid:durableId="76444779">
    <w:abstractNumId w:val="10"/>
  </w:num>
  <w:num w:numId="11" w16cid:durableId="19947497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BB7"/>
    <w:rsid w:val="00004E70"/>
    <w:rsid w:val="00005E66"/>
    <w:rsid w:val="000067E8"/>
    <w:rsid w:val="00006B4B"/>
    <w:rsid w:val="00006B60"/>
    <w:rsid w:val="000072B6"/>
    <w:rsid w:val="00007813"/>
    <w:rsid w:val="000102D7"/>
    <w:rsid w:val="000109E6"/>
    <w:rsid w:val="0001116D"/>
    <w:rsid w:val="00011278"/>
    <w:rsid w:val="000112FE"/>
    <w:rsid w:val="00011737"/>
    <w:rsid w:val="00011F67"/>
    <w:rsid w:val="000122EA"/>
    <w:rsid w:val="00012862"/>
    <w:rsid w:val="000128E6"/>
    <w:rsid w:val="00012EBA"/>
    <w:rsid w:val="00012F77"/>
    <w:rsid w:val="00013371"/>
    <w:rsid w:val="00013DE3"/>
    <w:rsid w:val="000151B9"/>
    <w:rsid w:val="00015787"/>
    <w:rsid w:val="00015A05"/>
    <w:rsid w:val="00015EFB"/>
    <w:rsid w:val="000160A9"/>
    <w:rsid w:val="000165E2"/>
    <w:rsid w:val="00016B0E"/>
    <w:rsid w:val="00016EF9"/>
    <w:rsid w:val="000172BE"/>
    <w:rsid w:val="00017D8A"/>
    <w:rsid w:val="000227D0"/>
    <w:rsid w:val="00023388"/>
    <w:rsid w:val="000233A2"/>
    <w:rsid w:val="00023425"/>
    <w:rsid w:val="00023685"/>
    <w:rsid w:val="000241BE"/>
    <w:rsid w:val="000242F2"/>
    <w:rsid w:val="000243CA"/>
    <w:rsid w:val="00025E7E"/>
    <w:rsid w:val="00026458"/>
    <w:rsid w:val="00026875"/>
    <w:rsid w:val="00026A13"/>
    <w:rsid w:val="00026D4B"/>
    <w:rsid w:val="000273D6"/>
    <w:rsid w:val="000275C6"/>
    <w:rsid w:val="00027AD6"/>
    <w:rsid w:val="00027C82"/>
    <w:rsid w:val="0003024C"/>
    <w:rsid w:val="00030533"/>
    <w:rsid w:val="0003083D"/>
    <w:rsid w:val="00031ADB"/>
    <w:rsid w:val="00032056"/>
    <w:rsid w:val="000328CA"/>
    <w:rsid w:val="00032B5A"/>
    <w:rsid w:val="00032E40"/>
    <w:rsid w:val="00032F2C"/>
    <w:rsid w:val="000332D5"/>
    <w:rsid w:val="0003367F"/>
    <w:rsid w:val="0003376B"/>
    <w:rsid w:val="00034676"/>
    <w:rsid w:val="000346E6"/>
    <w:rsid w:val="000347CA"/>
    <w:rsid w:val="000352B3"/>
    <w:rsid w:val="00036660"/>
    <w:rsid w:val="000371DD"/>
    <w:rsid w:val="000372BA"/>
    <w:rsid w:val="00040180"/>
    <w:rsid w:val="0004023E"/>
    <w:rsid w:val="0004024B"/>
    <w:rsid w:val="000404D2"/>
    <w:rsid w:val="00041B1E"/>
    <w:rsid w:val="00041B21"/>
    <w:rsid w:val="00041C10"/>
    <w:rsid w:val="00041C57"/>
    <w:rsid w:val="00041D96"/>
    <w:rsid w:val="00042418"/>
    <w:rsid w:val="000429FB"/>
    <w:rsid w:val="00042ADB"/>
    <w:rsid w:val="000434B7"/>
    <w:rsid w:val="000435E4"/>
    <w:rsid w:val="00043B97"/>
    <w:rsid w:val="00044E71"/>
    <w:rsid w:val="00046189"/>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82E"/>
    <w:rsid w:val="00055B33"/>
    <w:rsid w:val="00055B67"/>
    <w:rsid w:val="000565C8"/>
    <w:rsid w:val="000567AD"/>
    <w:rsid w:val="00057DC8"/>
    <w:rsid w:val="00057FC9"/>
    <w:rsid w:val="000602C8"/>
    <w:rsid w:val="00060AB2"/>
    <w:rsid w:val="000610E3"/>
    <w:rsid w:val="000612E1"/>
    <w:rsid w:val="000614FE"/>
    <w:rsid w:val="0006295E"/>
    <w:rsid w:val="00063779"/>
    <w:rsid w:val="00063F87"/>
    <w:rsid w:val="00065D38"/>
    <w:rsid w:val="0006694E"/>
    <w:rsid w:val="00067A0D"/>
    <w:rsid w:val="00067DD1"/>
    <w:rsid w:val="0007017D"/>
    <w:rsid w:val="00070447"/>
    <w:rsid w:val="000706E7"/>
    <w:rsid w:val="00070EF8"/>
    <w:rsid w:val="00070F3B"/>
    <w:rsid w:val="00071192"/>
    <w:rsid w:val="000713A7"/>
    <w:rsid w:val="0007258D"/>
    <w:rsid w:val="0007272F"/>
    <w:rsid w:val="00072A80"/>
    <w:rsid w:val="000731A0"/>
    <w:rsid w:val="000736C1"/>
    <w:rsid w:val="00073797"/>
    <w:rsid w:val="0007384B"/>
    <w:rsid w:val="000739FB"/>
    <w:rsid w:val="00073A82"/>
    <w:rsid w:val="00073DEC"/>
    <w:rsid w:val="000745AA"/>
    <w:rsid w:val="00074E86"/>
    <w:rsid w:val="0007557C"/>
    <w:rsid w:val="0007562F"/>
    <w:rsid w:val="00075934"/>
    <w:rsid w:val="00076097"/>
    <w:rsid w:val="00076541"/>
    <w:rsid w:val="00076E44"/>
    <w:rsid w:val="000772F4"/>
    <w:rsid w:val="000776EB"/>
    <w:rsid w:val="00080BEB"/>
    <w:rsid w:val="0008235B"/>
    <w:rsid w:val="000823B0"/>
    <w:rsid w:val="0008335B"/>
    <w:rsid w:val="00083379"/>
    <w:rsid w:val="00083587"/>
    <w:rsid w:val="00083838"/>
    <w:rsid w:val="00083B6A"/>
    <w:rsid w:val="00083DFE"/>
    <w:rsid w:val="00085E04"/>
    <w:rsid w:val="00086800"/>
    <w:rsid w:val="000869A5"/>
    <w:rsid w:val="00086AA0"/>
    <w:rsid w:val="00087913"/>
    <w:rsid w:val="00087934"/>
    <w:rsid w:val="000902DC"/>
    <w:rsid w:val="00090946"/>
    <w:rsid w:val="000911AE"/>
    <w:rsid w:val="000918FD"/>
    <w:rsid w:val="00092DF7"/>
    <w:rsid w:val="00093697"/>
    <w:rsid w:val="00093D42"/>
    <w:rsid w:val="00093DD0"/>
    <w:rsid w:val="00094A16"/>
    <w:rsid w:val="00094DE6"/>
    <w:rsid w:val="0009526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D7B"/>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115D"/>
    <w:rsid w:val="000C1535"/>
    <w:rsid w:val="000C1F4B"/>
    <w:rsid w:val="000C2508"/>
    <w:rsid w:val="000C252B"/>
    <w:rsid w:val="000C2FBD"/>
    <w:rsid w:val="000C3B0C"/>
    <w:rsid w:val="000C3F38"/>
    <w:rsid w:val="000C422D"/>
    <w:rsid w:val="000C443C"/>
    <w:rsid w:val="000C47CC"/>
    <w:rsid w:val="000C596A"/>
    <w:rsid w:val="000C5ADD"/>
    <w:rsid w:val="000C5F91"/>
    <w:rsid w:val="000C6025"/>
    <w:rsid w:val="000C6975"/>
    <w:rsid w:val="000C6EFA"/>
    <w:rsid w:val="000C7198"/>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0EB1"/>
    <w:rsid w:val="000E1380"/>
    <w:rsid w:val="000E18DF"/>
    <w:rsid w:val="000E374E"/>
    <w:rsid w:val="000E4761"/>
    <w:rsid w:val="000E48AF"/>
    <w:rsid w:val="000E59A0"/>
    <w:rsid w:val="000E5A1B"/>
    <w:rsid w:val="000E7403"/>
    <w:rsid w:val="000E7439"/>
    <w:rsid w:val="000E7A84"/>
    <w:rsid w:val="000F15BC"/>
    <w:rsid w:val="000F180A"/>
    <w:rsid w:val="000F1C92"/>
    <w:rsid w:val="000F2D25"/>
    <w:rsid w:val="000F2EEE"/>
    <w:rsid w:val="000F3697"/>
    <w:rsid w:val="000F407D"/>
    <w:rsid w:val="000F4F7E"/>
    <w:rsid w:val="000F5A0C"/>
    <w:rsid w:val="000F5BC8"/>
    <w:rsid w:val="000F5EE8"/>
    <w:rsid w:val="000F631C"/>
    <w:rsid w:val="000F637B"/>
    <w:rsid w:val="000F65A0"/>
    <w:rsid w:val="000F71CB"/>
    <w:rsid w:val="000F7326"/>
    <w:rsid w:val="000F7D77"/>
    <w:rsid w:val="000F7F58"/>
    <w:rsid w:val="00100128"/>
    <w:rsid w:val="00100CDC"/>
    <w:rsid w:val="00100FF3"/>
    <w:rsid w:val="00101753"/>
    <w:rsid w:val="00101CB8"/>
    <w:rsid w:val="00101EB7"/>
    <w:rsid w:val="001026CA"/>
    <w:rsid w:val="001033E1"/>
    <w:rsid w:val="00103ED9"/>
    <w:rsid w:val="00104210"/>
    <w:rsid w:val="001043C2"/>
    <w:rsid w:val="001043E1"/>
    <w:rsid w:val="001046C3"/>
    <w:rsid w:val="00104B45"/>
    <w:rsid w:val="0010505A"/>
    <w:rsid w:val="0010532D"/>
    <w:rsid w:val="00105CC7"/>
    <w:rsid w:val="00107035"/>
    <w:rsid w:val="00107779"/>
    <w:rsid w:val="00107840"/>
    <w:rsid w:val="001078C2"/>
    <w:rsid w:val="00107E1C"/>
    <w:rsid w:val="00110243"/>
    <w:rsid w:val="001108E7"/>
    <w:rsid w:val="001112C4"/>
    <w:rsid w:val="001113D1"/>
    <w:rsid w:val="00111444"/>
    <w:rsid w:val="00111723"/>
    <w:rsid w:val="00111860"/>
    <w:rsid w:val="001125FF"/>
    <w:rsid w:val="001129B5"/>
    <w:rsid w:val="00112AD7"/>
    <w:rsid w:val="00112BE6"/>
    <w:rsid w:val="00112FE5"/>
    <w:rsid w:val="001141E3"/>
    <w:rsid w:val="001144DF"/>
    <w:rsid w:val="00114BF1"/>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982"/>
    <w:rsid w:val="00130A9F"/>
    <w:rsid w:val="00130F5A"/>
    <w:rsid w:val="001314A8"/>
    <w:rsid w:val="0013160D"/>
    <w:rsid w:val="001321D3"/>
    <w:rsid w:val="00132FAA"/>
    <w:rsid w:val="00133599"/>
    <w:rsid w:val="00133614"/>
    <w:rsid w:val="00133BF7"/>
    <w:rsid w:val="00134B88"/>
    <w:rsid w:val="00135A01"/>
    <w:rsid w:val="00136A23"/>
    <w:rsid w:val="00136B99"/>
    <w:rsid w:val="00136FC3"/>
    <w:rsid w:val="001375D9"/>
    <w:rsid w:val="0014063E"/>
    <w:rsid w:val="0014087D"/>
    <w:rsid w:val="00140F74"/>
    <w:rsid w:val="00141191"/>
    <w:rsid w:val="0014159C"/>
    <w:rsid w:val="00142665"/>
    <w:rsid w:val="0014384A"/>
    <w:rsid w:val="00143DCC"/>
    <w:rsid w:val="0014450F"/>
    <w:rsid w:val="00144D8F"/>
    <w:rsid w:val="00144DCF"/>
    <w:rsid w:val="00145632"/>
    <w:rsid w:val="00145670"/>
    <w:rsid w:val="00145C74"/>
    <w:rsid w:val="001462E9"/>
    <w:rsid w:val="00146B4B"/>
    <w:rsid w:val="00146E32"/>
    <w:rsid w:val="0015005A"/>
    <w:rsid w:val="00150C0B"/>
    <w:rsid w:val="00150CE4"/>
    <w:rsid w:val="00151058"/>
    <w:rsid w:val="00151619"/>
    <w:rsid w:val="00151CA4"/>
    <w:rsid w:val="00151FDC"/>
    <w:rsid w:val="0015269C"/>
    <w:rsid w:val="00152835"/>
    <w:rsid w:val="00152CFF"/>
    <w:rsid w:val="00152DFC"/>
    <w:rsid w:val="00154D21"/>
    <w:rsid w:val="00155401"/>
    <w:rsid w:val="001559FA"/>
    <w:rsid w:val="00155BFB"/>
    <w:rsid w:val="001560AB"/>
    <w:rsid w:val="00156374"/>
    <w:rsid w:val="00156383"/>
    <w:rsid w:val="00156CCF"/>
    <w:rsid w:val="001572C1"/>
    <w:rsid w:val="001577D8"/>
    <w:rsid w:val="001578F1"/>
    <w:rsid w:val="00157FC3"/>
    <w:rsid w:val="00160739"/>
    <w:rsid w:val="001611EA"/>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39EF"/>
    <w:rsid w:val="001745EC"/>
    <w:rsid w:val="001747B7"/>
    <w:rsid w:val="00174B63"/>
    <w:rsid w:val="001754C9"/>
    <w:rsid w:val="001759C8"/>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37E"/>
    <w:rsid w:val="0019080E"/>
    <w:rsid w:val="00191C91"/>
    <w:rsid w:val="00192DD9"/>
    <w:rsid w:val="001931F7"/>
    <w:rsid w:val="00193878"/>
    <w:rsid w:val="00194339"/>
    <w:rsid w:val="00194848"/>
    <w:rsid w:val="00194BA9"/>
    <w:rsid w:val="00194E23"/>
    <w:rsid w:val="00194F68"/>
    <w:rsid w:val="001958EA"/>
    <w:rsid w:val="00195E0E"/>
    <w:rsid w:val="001972A9"/>
    <w:rsid w:val="0019762B"/>
    <w:rsid w:val="00197FBC"/>
    <w:rsid w:val="001A01A5"/>
    <w:rsid w:val="001A0E0D"/>
    <w:rsid w:val="001A180D"/>
    <w:rsid w:val="001A1BAC"/>
    <w:rsid w:val="001A23CE"/>
    <w:rsid w:val="001A2C89"/>
    <w:rsid w:val="001A325F"/>
    <w:rsid w:val="001A4965"/>
    <w:rsid w:val="001A50C8"/>
    <w:rsid w:val="001A52FB"/>
    <w:rsid w:val="001A57EE"/>
    <w:rsid w:val="001A598D"/>
    <w:rsid w:val="001A5C71"/>
    <w:rsid w:val="001A673E"/>
    <w:rsid w:val="001A7763"/>
    <w:rsid w:val="001B0525"/>
    <w:rsid w:val="001B2439"/>
    <w:rsid w:val="001B27A5"/>
    <w:rsid w:val="001B31DB"/>
    <w:rsid w:val="001B33AD"/>
    <w:rsid w:val="001B371B"/>
    <w:rsid w:val="001B3964"/>
    <w:rsid w:val="001B3E29"/>
    <w:rsid w:val="001B4452"/>
    <w:rsid w:val="001B463A"/>
    <w:rsid w:val="001B466C"/>
    <w:rsid w:val="001B4AAE"/>
    <w:rsid w:val="001B4F34"/>
    <w:rsid w:val="001B52EC"/>
    <w:rsid w:val="001B554A"/>
    <w:rsid w:val="001B586B"/>
    <w:rsid w:val="001B64C4"/>
    <w:rsid w:val="001B6564"/>
    <w:rsid w:val="001B691A"/>
    <w:rsid w:val="001B6E9F"/>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77A"/>
    <w:rsid w:val="001C67A1"/>
    <w:rsid w:val="001C6819"/>
    <w:rsid w:val="001C69DA"/>
    <w:rsid w:val="001C6F06"/>
    <w:rsid w:val="001C75AF"/>
    <w:rsid w:val="001C7611"/>
    <w:rsid w:val="001C7755"/>
    <w:rsid w:val="001D1F74"/>
    <w:rsid w:val="001D2360"/>
    <w:rsid w:val="001D2372"/>
    <w:rsid w:val="001D2CE6"/>
    <w:rsid w:val="001D3109"/>
    <w:rsid w:val="001D332E"/>
    <w:rsid w:val="001D44FC"/>
    <w:rsid w:val="001D5033"/>
    <w:rsid w:val="001D5C88"/>
    <w:rsid w:val="001D608D"/>
    <w:rsid w:val="001D6567"/>
    <w:rsid w:val="001D695C"/>
    <w:rsid w:val="001D6FD9"/>
    <w:rsid w:val="001D780E"/>
    <w:rsid w:val="001D7A29"/>
    <w:rsid w:val="001E05C3"/>
    <w:rsid w:val="001E0AB0"/>
    <w:rsid w:val="001E0AD3"/>
    <w:rsid w:val="001E1FBD"/>
    <w:rsid w:val="001E273E"/>
    <w:rsid w:val="001E36E4"/>
    <w:rsid w:val="001E379D"/>
    <w:rsid w:val="001E3A3C"/>
    <w:rsid w:val="001E462D"/>
    <w:rsid w:val="001E46CC"/>
    <w:rsid w:val="001E5C23"/>
    <w:rsid w:val="001E6283"/>
    <w:rsid w:val="001E6354"/>
    <w:rsid w:val="001E7504"/>
    <w:rsid w:val="001E76DF"/>
    <w:rsid w:val="001F1308"/>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EC7"/>
    <w:rsid w:val="0020349A"/>
    <w:rsid w:val="002034B4"/>
    <w:rsid w:val="00204032"/>
    <w:rsid w:val="002048C2"/>
    <w:rsid w:val="00204AFE"/>
    <w:rsid w:val="00204BAD"/>
    <w:rsid w:val="00204D60"/>
    <w:rsid w:val="00204E04"/>
    <w:rsid w:val="00205251"/>
    <w:rsid w:val="00205627"/>
    <w:rsid w:val="002056D0"/>
    <w:rsid w:val="00205A0F"/>
    <w:rsid w:val="00207118"/>
    <w:rsid w:val="00210860"/>
    <w:rsid w:val="00210B6A"/>
    <w:rsid w:val="00210C1E"/>
    <w:rsid w:val="0021120F"/>
    <w:rsid w:val="0021195A"/>
    <w:rsid w:val="00211C40"/>
    <w:rsid w:val="00211C7A"/>
    <w:rsid w:val="00211DAC"/>
    <w:rsid w:val="00212CB6"/>
    <w:rsid w:val="00212E37"/>
    <w:rsid w:val="00213B5D"/>
    <w:rsid w:val="002140FF"/>
    <w:rsid w:val="00215E30"/>
    <w:rsid w:val="002164D8"/>
    <w:rsid w:val="00216BEC"/>
    <w:rsid w:val="00216FF8"/>
    <w:rsid w:val="0021723C"/>
    <w:rsid w:val="00220894"/>
    <w:rsid w:val="0022095C"/>
    <w:rsid w:val="0022142A"/>
    <w:rsid w:val="00221772"/>
    <w:rsid w:val="0022221C"/>
    <w:rsid w:val="00224695"/>
    <w:rsid w:val="00224952"/>
    <w:rsid w:val="00224DD2"/>
    <w:rsid w:val="002251D8"/>
    <w:rsid w:val="00225905"/>
    <w:rsid w:val="00225A6A"/>
    <w:rsid w:val="00225AC7"/>
    <w:rsid w:val="00225ACC"/>
    <w:rsid w:val="00225E80"/>
    <w:rsid w:val="002270A9"/>
    <w:rsid w:val="00227BCF"/>
    <w:rsid w:val="00227DBD"/>
    <w:rsid w:val="00230489"/>
    <w:rsid w:val="0023086A"/>
    <w:rsid w:val="00231C25"/>
    <w:rsid w:val="00231C6F"/>
    <w:rsid w:val="0023244C"/>
    <w:rsid w:val="002324D8"/>
    <w:rsid w:val="002329C4"/>
    <w:rsid w:val="00232A90"/>
    <w:rsid w:val="00232B3B"/>
    <w:rsid w:val="00234151"/>
    <w:rsid w:val="00234F8C"/>
    <w:rsid w:val="0023535E"/>
    <w:rsid w:val="00235542"/>
    <w:rsid w:val="00235DAD"/>
    <w:rsid w:val="002365DC"/>
    <w:rsid w:val="002369B0"/>
    <w:rsid w:val="00236AD8"/>
    <w:rsid w:val="00236B3F"/>
    <w:rsid w:val="002401F5"/>
    <w:rsid w:val="002407C9"/>
    <w:rsid w:val="00240B9A"/>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AC2"/>
    <w:rsid w:val="00253C1D"/>
    <w:rsid w:val="002546F4"/>
    <w:rsid w:val="002551D0"/>
    <w:rsid w:val="00255374"/>
    <w:rsid w:val="00255780"/>
    <w:rsid w:val="002559BE"/>
    <w:rsid w:val="00255BA9"/>
    <w:rsid w:val="00255E35"/>
    <w:rsid w:val="00257004"/>
    <w:rsid w:val="00257BF4"/>
    <w:rsid w:val="00257F52"/>
    <w:rsid w:val="00260003"/>
    <w:rsid w:val="0026035D"/>
    <w:rsid w:val="0026041D"/>
    <w:rsid w:val="002606D6"/>
    <w:rsid w:val="00261C98"/>
    <w:rsid w:val="0026248E"/>
    <w:rsid w:val="00262914"/>
    <w:rsid w:val="00263F38"/>
    <w:rsid w:val="002647BF"/>
    <w:rsid w:val="002647D5"/>
    <w:rsid w:val="00264B5C"/>
    <w:rsid w:val="00265032"/>
    <w:rsid w:val="002651FB"/>
    <w:rsid w:val="0026528A"/>
    <w:rsid w:val="0026538C"/>
    <w:rsid w:val="00265781"/>
    <w:rsid w:val="00265933"/>
    <w:rsid w:val="00265F87"/>
    <w:rsid w:val="00266B13"/>
    <w:rsid w:val="00266B23"/>
    <w:rsid w:val="0027027B"/>
    <w:rsid w:val="002703B6"/>
    <w:rsid w:val="00270411"/>
    <w:rsid w:val="00270728"/>
    <w:rsid w:val="00270D42"/>
    <w:rsid w:val="00270DFD"/>
    <w:rsid w:val="00270FA0"/>
    <w:rsid w:val="002714D5"/>
    <w:rsid w:val="0027195D"/>
    <w:rsid w:val="00271AE4"/>
    <w:rsid w:val="002724CE"/>
    <w:rsid w:val="00272B03"/>
    <w:rsid w:val="002733E2"/>
    <w:rsid w:val="00274858"/>
    <w:rsid w:val="002750B1"/>
    <w:rsid w:val="0027542D"/>
    <w:rsid w:val="002754C5"/>
    <w:rsid w:val="002755F4"/>
    <w:rsid w:val="00276395"/>
    <w:rsid w:val="002764D1"/>
    <w:rsid w:val="002768B1"/>
    <w:rsid w:val="00276A35"/>
    <w:rsid w:val="00276F36"/>
    <w:rsid w:val="002774DD"/>
    <w:rsid w:val="00277835"/>
    <w:rsid w:val="0028046C"/>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3FE"/>
    <w:rsid w:val="00291422"/>
    <w:rsid w:val="0029237F"/>
    <w:rsid w:val="00292715"/>
    <w:rsid w:val="002934D4"/>
    <w:rsid w:val="00293E57"/>
    <w:rsid w:val="002947D1"/>
    <w:rsid w:val="002948DF"/>
    <w:rsid w:val="00294D90"/>
    <w:rsid w:val="0029546B"/>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6432"/>
    <w:rsid w:val="002A662D"/>
    <w:rsid w:val="002A6AB5"/>
    <w:rsid w:val="002A6F25"/>
    <w:rsid w:val="002A6FD3"/>
    <w:rsid w:val="002A7530"/>
    <w:rsid w:val="002B0A7D"/>
    <w:rsid w:val="002B0BC8"/>
    <w:rsid w:val="002B1A69"/>
    <w:rsid w:val="002B1BD3"/>
    <w:rsid w:val="002B1F96"/>
    <w:rsid w:val="002B20D7"/>
    <w:rsid w:val="002B2723"/>
    <w:rsid w:val="002B2DBC"/>
    <w:rsid w:val="002B2E4A"/>
    <w:rsid w:val="002B303A"/>
    <w:rsid w:val="002B538E"/>
    <w:rsid w:val="002B5DCA"/>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6EB"/>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62F5"/>
    <w:rsid w:val="002D72CC"/>
    <w:rsid w:val="002D7E4D"/>
    <w:rsid w:val="002E0038"/>
    <w:rsid w:val="002E0319"/>
    <w:rsid w:val="002E1093"/>
    <w:rsid w:val="002E179B"/>
    <w:rsid w:val="002E1C9E"/>
    <w:rsid w:val="002E215A"/>
    <w:rsid w:val="002E257B"/>
    <w:rsid w:val="002E3693"/>
    <w:rsid w:val="002E3C65"/>
    <w:rsid w:val="002E3F5B"/>
    <w:rsid w:val="002E4362"/>
    <w:rsid w:val="002E4612"/>
    <w:rsid w:val="002E5301"/>
    <w:rsid w:val="002E5B07"/>
    <w:rsid w:val="002E63D9"/>
    <w:rsid w:val="002E640E"/>
    <w:rsid w:val="002E739D"/>
    <w:rsid w:val="002F0313"/>
    <w:rsid w:val="002F03DF"/>
    <w:rsid w:val="002F08CF"/>
    <w:rsid w:val="002F0C28"/>
    <w:rsid w:val="002F0E2A"/>
    <w:rsid w:val="002F18E9"/>
    <w:rsid w:val="002F281C"/>
    <w:rsid w:val="002F2999"/>
    <w:rsid w:val="002F2BAE"/>
    <w:rsid w:val="002F3868"/>
    <w:rsid w:val="002F3CDE"/>
    <w:rsid w:val="002F51FD"/>
    <w:rsid w:val="002F559A"/>
    <w:rsid w:val="002F5DD6"/>
    <w:rsid w:val="002F5FEA"/>
    <w:rsid w:val="002F63E7"/>
    <w:rsid w:val="002F63F9"/>
    <w:rsid w:val="002F6A1A"/>
    <w:rsid w:val="002F7049"/>
    <w:rsid w:val="002F77F7"/>
    <w:rsid w:val="002F78F3"/>
    <w:rsid w:val="002F7BE3"/>
    <w:rsid w:val="002F7E6A"/>
    <w:rsid w:val="00300165"/>
    <w:rsid w:val="00300445"/>
    <w:rsid w:val="003008C7"/>
    <w:rsid w:val="00300978"/>
    <w:rsid w:val="00300F00"/>
    <w:rsid w:val="003010CF"/>
    <w:rsid w:val="003018DF"/>
    <w:rsid w:val="00303440"/>
    <w:rsid w:val="00304D9B"/>
    <w:rsid w:val="00304E7F"/>
    <w:rsid w:val="00305FF9"/>
    <w:rsid w:val="00306827"/>
    <w:rsid w:val="00306E6B"/>
    <w:rsid w:val="003070AE"/>
    <w:rsid w:val="0030723C"/>
    <w:rsid w:val="003100C8"/>
    <w:rsid w:val="003105D0"/>
    <w:rsid w:val="00311161"/>
    <w:rsid w:val="00312239"/>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51B6"/>
    <w:rsid w:val="00325A90"/>
    <w:rsid w:val="00326957"/>
    <w:rsid w:val="00326AE2"/>
    <w:rsid w:val="00326DE8"/>
    <w:rsid w:val="00326E13"/>
    <w:rsid w:val="00327792"/>
    <w:rsid w:val="00330D56"/>
    <w:rsid w:val="00330DD4"/>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3EC"/>
    <w:rsid w:val="00335B75"/>
    <w:rsid w:val="00335D8C"/>
    <w:rsid w:val="00335DA8"/>
    <w:rsid w:val="00336072"/>
    <w:rsid w:val="003363A1"/>
    <w:rsid w:val="0033668B"/>
    <w:rsid w:val="003368F2"/>
    <w:rsid w:val="003373D2"/>
    <w:rsid w:val="00337F31"/>
    <w:rsid w:val="00341749"/>
    <w:rsid w:val="00341F43"/>
    <w:rsid w:val="00342094"/>
    <w:rsid w:val="0034226D"/>
    <w:rsid w:val="003428FB"/>
    <w:rsid w:val="00342972"/>
    <w:rsid w:val="00342FDD"/>
    <w:rsid w:val="00343118"/>
    <w:rsid w:val="00343487"/>
    <w:rsid w:val="0034429B"/>
    <w:rsid w:val="003442D8"/>
    <w:rsid w:val="00344866"/>
    <w:rsid w:val="00344ABC"/>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767D"/>
    <w:rsid w:val="00357804"/>
    <w:rsid w:val="00360232"/>
    <w:rsid w:val="003602E0"/>
    <w:rsid w:val="00360C3C"/>
    <w:rsid w:val="00360D01"/>
    <w:rsid w:val="00362569"/>
    <w:rsid w:val="003636CD"/>
    <w:rsid w:val="00363ABF"/>
    <w:rsid w:val="003647BA"/>
    <w:rsid w:val="0036487C"/>
    <w:rsid w:val="0036515A"/>
    <w:rsid w:val="00365411"/>
    <w:rsid w:val="003655E9"/>
    <w:rsid w:val="0036583B"/>
    <w:rsid w:val="00365F9E"/>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802DC"/>
    <w:rsid w:val="003807F0"/>
    <w:rsid w:val="00380E4E"/>
    <w:rsid w:val="00380FBF"/>
    <w:rsid w:val="00381156"/>
    <w:rsid w:val="003820E9"/>
    <w:rsid w:val="00382A43"/>
    <w:rsid w:val="00382D60"/>
    <w:rsid w:val="00382F29"/>
    <w:rsid w:val="0038307E"/>
    <w:rsid w:val="00383C8D"/>
    <w:rsid w:val="00384CE8"/>
    <w:rsid w:val="003852FB"/>
    <w:rsid w:val="00385429"/>
    <w:rsid w:val="00385B05"/>
    <w:rsid w:val="00386382"/>
    <w:rsid w:val="003865EF"/>
    <w:rsid w:val="00386BA9"/>
    <w:rsid w:val="00387CCA"/>
    <w:rsid w:val="00390017"/>
    <w:rsid w:val="003901A3"/>
    <w:rsid w:val="003901F1"/>
    <w:rsid w:val="0039072F"/>
    <w:rsid w:val="00390D82"/>
    <w:rsid w:val="00390EC7"/>
    <w:rsid w:val="003919F6"/>
    <w:rsid w:val="00391DBF"/>
    <w:rsid w:val="0039218D"/>
    <w:rsid w:val="0039255A"/>
    <w:rsid w:val="00392B13"/>
    <w:rsid w:val="00392B93"/>
    <w:rsid w:val="003940CE"/>
    <w:rsid w:val="00394739"/>
    <w:rsid w:val="00395826"/>
    <w:rsid w:val="00396D33"/>
    <w:rsid w:val="0039738B"/>
    <w:rsid w:val="00397C1D"/>
    <w:rsid w:val="00397CEF"/>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79A"/>
    <w:rsid w:val="003A6A98"/>
    <w:rsid w:val="003A73EE"/>
    <w:rsid w:val="003A7702"/>
    <w:rsid w:val="003A7834"/>
    <w:rsid w:val="003B00FD"/>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494"/>
    <w:rsid w:val="003C25AD"/>
    <w:rsid w:val="003C28DA"/>
    <w:rsid w:val="003C2D21"/>
    <w:rsid w:val="003C4503"/>
    <w:rsid w:val="003C56F7"/>
    <w:rsid w:val="003C5E6B"/>
    <w:rsid w:val="003C5ED6"/>
    <w:rsid w:val="003C6B81"/>
    <w:rsid w:val="003C70F1"/>
    <w:rsid w:val="003C7AD7"/>
    <w:rsid w:val="003D0443"/>
    <w:rsid w:val="003D0992"/>
    <w:rsid w:val="003D0FC3"/>
    <w:rsid w:val="003D1902"/>
    <w:rsid w:val="003D1B34"/>
    <w:rsid w:val="003D2C1D"/>
    <w:rsid w:val="003D2C34"/>
    <w:rsid w:val="003D31B9"/>
    <w:rsid w:val="003D3538"/>
    <w:rsid w:val="003D3568"/>
    <w:rsid w:val="003D3DDD"/>
    <w:rsid w:val="003D4022"/>
    <w:rsid w:val="003D46F1"/>
    <w:rsid w:val="003D5CBF"/>
    <w:rsid w:val="003D60B6"/>
    <w:rsid w:val="003D66D2"/>
    <w:rsid w:val="003D6C4E"/>
    <w:rsid w:val="003D729E"/>
    <w:rsid w:val="003D7483"/>
    <w:rsid w:val="003D7C85"/>
    <w:rsid w:val="003D7E78"/>
    <w:rsid w:val="003E0282"/>
    <w:rsid w:val="003E0473"/>
    <w:rsid w:val="003E07AE"/>
    <w:rsid w:val="003E14FC"/>
    <w:rsid w:val="003E1949"/>
    <w:rsid w:val="003E2976"/>
    <w:rsid w:val="003E33B8"/>
    <w:rsid w:val="003E349D"/>
    <w:rsid w:val="003E3B8E"/>
    <w:rsid w:val="003E3ECA"/>
    <w:rsid w:val="003E41C4"/>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B09"/>
    <w:rsid w:val="003F6138"/>
    <w:rsid w:val="003F6CD2"/>
    <w:rsid w:val="003F788D"/>
    <w:rsid w:val="003F7936"/>
    <w:rsid w:val="003F7D5A"/>
    <w:rsid w:val="00400655"/>
    <w:rsid w:val="004008FE"/>
    <w:rsid w:val="0040126E"/>
    <w:rsid w:val="004020D4"/>
    <w:rsid w:val="004021B6"/>
    <w:rsid w:val="0040274F"/>
    <w:rsid w:val="00403444"/>
    <w:rsid w:val="004039EC"/>
    <w:rsid w:val="00403F9A"/>
    <w:rsid w:val="004047C4"/>
    <w:rsid w:val="00404FD4"/>
    <w:rsid w:val="0040523D"/>
    <w:rsid w:val="0040570B"/>
    <w:rsid w:val="00405EDB"/>
    <w:rsid w:val="00405FB1"/>
    <w:rsid w:val="00406460"/>
    <w:rsid w:val="00407057"/>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DEC"/>
    <w:rsid w:val="00417F6C"/>
    <w:rsid w:val="004211B8"/>
    <w:rsid w:val="00421DCF"/>
    <w:rsid w:val="00421F52"/>
    <w:rsid w:val="00422341"/>
    <w:rsid w:val="00422363"/>
    <w:rsid w:val="004226CC"/>
    <w:rsid w:val="00422A4D"/>
    <w:rsid w:val="00423049"/>
    <w:rsid w:val="00423641"/>
    <w:rsid w:val="004237F1"/>
    <w:rsid w:val="00423DA5"/>
    <w:rsid w:val="00424C69"/>
    <w:rsid w:val="0042559D"/>
    <w:rsid w:val="00426266"/>
    <w:rsid w:val="00426B27"/>
    <w:rsid w:val="00427A28"/>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6FB8"/>
    <w:rsid w:val="004376CE"/>
    <w:rsid w:val="004376D0"/>
    <w:rsid w:val="00440A26"/>
    <w:rsid w:val="004423FF"/>
    <w:rsid w:val="0044269A"/>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9E1"/>
    <w:rsid w:val="00451C7E"/>
    <w:rsid w:val="00452831"/>
    <w:rsid w:val="004532F2"/>
    <w:rsid w:val="0045342E"/>
    <w:rsid w:val="00453BB6"/>
    <w:rsid w:val="00453CAA"/>
    <w:rsid w:val="00454358"/>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45"/>
    <w:rsid w:val="00460E86"/>
    <w:rsid w:val="00461D49"/>
    <w:rsid w:val="0046250A"/>
    <w:rsid w:val="0046362E"/>
    <w:rsid w:val="00463690"/>
    <w:rsid w:val="004646B4"/>
    <w:rsid w:val="00464A88"/>
    <w:rsid w:val="00464B01"/>
    <w:rsid w:val="004651A0"/>
    <w:rsid w:val="00465742"/>
    <w:rsid w:val="00466532"/>
    <w:rsid w:val="00466783"/>
    <w:rsid w:val="00467488"/>
    <w:rsid w:val="0047083E"/>
    <w:rsid w:val="00470B8A"/>
    <w:rsid w:val="00470EB5"/>
    <w:rsid w:val="00471030"/>
    <w:rsid w:val="004722FE"/>
    <w:rsid w:val="00472419"/>
    <w:rsid w:val="0047286B"/>
    <w:rsid w:val="00472E27"/>
    <w:rsid w:val="00472E55"/>
    <w:rsid w:val="004731E8"/>
    <w:rsid w:val="004740FC"/>
    <w:rsid w:val="00474220"/>
    <w:rsid w:val="00474DA2"/>
    <w:rsid w:val="00474E54"/>
    <w:rsid w:val="00474FBB"/>
    <w:rsid w:val="00475022"/>
    <w:rsid w:val="004752D3"/>
    <w:rsid w:val="0047542A"/>
    <w:rsid w:val="004754E1"/>
    <w:rsid w:val="0047598E"/>
    <w:rsid w:val="00475CE0"/>
    <w:rsid w:val="00476827"/>
    <w:rsid w:val="00476B36"/>
    <w:rsid w:val="00476BD4"/>
    <w:rsid w:val="00477383"/>
    <w:rsid w:val="004776E9"/>
    <w:rsid w:val="00477AFD"/>
    <w:rsid w:val="00477C35"/>
    <w:rsid w:val="00477FB9"/>
    <w:rsid w:val="00480580"/>
    <w:rsid w:val="00480988"/>
    <w:rsid w:val="00480B92"/>
    <w:rsid w:val="00480E05"/>
    <w:rsid w:val="00480F25"/>
    <w:rsid w:val="00480FBD"/>
    <w:rsid w:val="00481397"/>
    <w:rsid w:val="004816BE"/>
    <w:rsid w:val="004817E2"/>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6AE"/>
    <w:rsid w:val="00487B59"/>
    <w:rsid w:val="00487C01"/>
    <w:rsid w:val="00490589"/>
    <w:rsid w:val="00490E2D"/>
    <w:rsid w:val="0049162F"/>
    <w:rsid w:val="004926C0"/>
    <w:rsid w:val="00492D44"/>
    <w:rsid w:val="0049355D"/>
    <w:rsid w:val="00493895"/>
    <w:rsid w:val="00493C77"/>
    <w:rsid w:val="00493F8E"/>
    <w:rsid w:val="00493FA6"/>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AC5"/>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B0341"/>
    <w:rsid w:val="004B0F81"/>
    <w:rsid w:val="004B1878"/>
    <w:rsid w:val="004B1C92"/>
    <w:rsid w:val="004B3DE8"/>
    <w:rsid w:val="004B44D6"/>
    <w:rsid w:val="004B49E6"/>
    <w:rsid w:val="004B4D69"/>
    <w:rsid w:val="004B4DE4"/>
    <w:rsid w:val="004B6A5A"/>
    <w:rsid w:val="004B6C16"/>
    <w:rsid w:val="004B72FE"/>
    <w:rsid w:val="004B7E99"/>
    <w:rsid w:val="004C01A8"/>
    <w:rsid w:val="004C1840"/>
    <w:rsid w:val="004C2118"/>
    <w:rsid w:val="004C249E"/>
    <w:rsid w:val="004C24C9"/>
    <w:rsid w:val="004C252E"/>
    <w:rsid w:val="004C2B04"/>
    <w:rsid w:val="004C2BE3"/>
    <w:rsid w:val="004C31B6"/>
    <w:rsid w:val="004C5319"/>
    <w:rsid w:val="004C5395"/>
    <w:rsid w:val="004C5705"/>
    <w:rsid w:val="004C621F"/>
    <w:rsid w:val="004C6C17"/>
    <w:rsid w:val="004C71C0"/>
    <w:rsid w:val="004C73E6"/>
    <w:rsid w:val="004C7948"/>
    <w:rsid w:val="004C7BB8"/>
    <w:rsid w:val="004C7C60"/>
    <w:rsid w:val="004C7FF5"/>
    <w:rsid w:val="004D045B"/>
    <w:rsid w:val="004D0C61"/>
    <w:rsid w:val="004D0DFE"/>
    <w:rsid w:val="004D1D91"/>
    <w:rsid w:val="004D1DBF"/>
    <w:rsid w:val="004D22C3"/>
    <w:rsid w:val="004D2E1A"/>
    <w:rsid w:val="004D40AE"/>
    <w:rsid w:val="004D41C6"/>
    <w:rsid w:val="004D4924"/>
    <w:rsid w:val="004D5A1B"/>
    <w:rsid w:val="004D6C39"/>
    <w:rsid w:val="004D6F4D"/>
    <w:rsid w:val="004D6F95"/>
    <w:rsid w:val="004D70CF"/>
    <w:rsid w:val="004D72FE"/>
    <w:rsid w:val="004D7358"/>
    <w:rsid w:val="004D77A8"/>
    <w:rsid w:val="004D7ACB"/>
    <w:rsid w:val="004D7E91"/>
    <w:rsid w:val="004E003A"/>
    <w:rsid w:val="004E0536"/>
    <w:rsid w:val="004E0768"/>
    <w:rsid w:val="004E1A31"/>
    <w:rsid w:val="004E1C6F"/>
    <w:rsid w:val="004E2413"/>
    <w:rsid w:val="004E2584"/>
    <w:rsid w:val="004E2971"/>
    <w:rsid w:val="004E298C"/>
    <w:rsid w:val="004E2DE0"/>
    <w:rsid w:val="004E4060"/>
    <w:rsid w:val="004E409A"/>
    <w:rsid w:val="004E4456"/>
    <w:rsid w:val="004E4458"/>
    <w:rsid w:val="004E4549"/>
    <w:rsid w:val="004E6AC0"/>
    <w:rsid w:val="004E6CA2"/>
    <w:rsid w:val="004E743E"/>
    <w:rsid w:val="004E7A42"/>
    <w:rsid w:val="004E7B74"/>
    <w:rsid w:val="004E7C7A"/>
    <w:rsid w:val="004E7F04"/>
    <w:rsid w:val="004F0BC0"/>
    <w:rsid w:val="004F0E25"/>
    <w:rsid w:val="004F0FB9"/>
    <w:rsid w:val="004F171F"/>
    <w:rsid w:val="004F1C3B"/>
    <w:rsid w:val="004F1C8E"/>
    <w:rsid w:val="004F2910"/>
    <w:rsid w:val="004F2F7E"/>
    <w:rsid w:val="004F32B5"/>
    <w:rsid w:val="004F34CD"/>
    <w:rsid w:val="004F407E"/>
    <w:rsid w:val="004F41E5"/>
    <w:rsid w:val="004F437D"/>
    <w:rsid w:val="004F517A"/>
    <w:rsid w:val="004F53A9"/>
    <w:rsid w:val="004F5479"/>
    <w:rsid w:val="004F6C73"/>
    <w:rsid w:val="004F6E93"/>
    <w:rsid w:val="004F7528"/>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6F7"/>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3716"/>
    <w:rsid w:val="005240D3"/>
    <w:rsid w:val="00524204"/>
    <w:rsid w:val="00524489"/>
    <w:rsid w:val="00524545"/>
    <w:rsid w:val="00524937"/>
    <w:rsid w:val="005255BF"/>
    <w:rsid w:val="005257DE"/>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90"/>
    <w:rsid w:val="00534F54"/>
    <w:rsid w:val="00535079"/>
    <w:rsid w:val="005352F3"/>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2B12"/>
    <w:rsid w:val="00553127"/>
    <w:rsid w:val="00553704"/>
    <w:rsid w:val="005537D5"/>
    <w:rsid w:val="00554973"/>
    <w:rsid w:val="00554BE7"/>
    <w:rsid w:val="005551FD"/>
    <w:rsid w:val="00555664"/>
    <w:rsid w:val="005556F9"/>
    <w:rsid w:val="00555C32"/>
    <w:rsid w:val="00555C8B"/>
    <w:rsid w:val="005563E0"/>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477"/>
    <w:rsid w:val="005656ED"/>
    <w:rsid w:val="00565C9E"/>
    <w:rsid w:val="00566544"/>
    <w:rsid w:val="00566608"/>
    <w:rsid w:val="00566C83"/>
    <w:rsid w:val="0056705C"/>
    <w:rsid w:val="005674E3"/>
    <w:rsid w:val="005700FE"/>
    <w:rsid w:val="005705CD"/>
    <w:rsid w:val="00570E24"/>
    <w:rsid w:val="00570FF8"/>
    <w:rsid w:val="00571B3E"/>
    <w:rsid w:val="005724AD"/>
    <w:rsid w:val="00572760"/>
    <w:rsid w:val="005728D4"/>
    <w:rsid w:val="0057320B"/>
    <w:rsid w:val="0057401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7CD"/>
    <w:rsid w:val="00582C3A"/>
    <w:rsid w:val="00582E1A"/>
    <w:rsid w:val="00583147"/>
    <w:rsid w:val="00583D5A"/>
    <w:rsid w:val="00584170"/>
    <w:rsid w:val="00584416"/>
    <w:rsid w:val="00584874"/>
    <w:rsid w:val="00584ADC"/>
    <w:rsid w:val="00584B39"/>
    <w:rsid w:val="00585028"/>
    <w:rsid w:val="005850D2"/>
    <w:rsid w:val="00585253"/>
    <w:rsid w:val="005854D1"/>
    <w:rsid w:val="00585586"/>
    <w:rsid w:val="005856A2"/>
    <w:rsid w:val="0058590B"/>
    <w:rsid w:val="00585DB4"/>
    <w:rsid w:val="00585DC0"/>
    <w:rsid w:val="00585F5B"/>
    <w:rsid w:val="0058620A"/>
    <w:rsid w:val="0058671A"/>
    <w:rsid w:val="00586DF9"/>
    <w:rsid w:val="00587F2C"/>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9C"/>
    <w:rsid w:val="0059721A"/>
    <w:rsid w:val="005A04BA"/>
    <w:rsid w:val="005A054D"/>
    <w:rsid w:val="005A0844"/>
    <w:rsid w:val="005A0A46"/>
    <w:rsid w:val="005A10B9"/>
    <w:rsid w:val="005A11EA"/>
    <w:rsid w:val="005A1BF0"/>
    <w:rsid w:val="005A269F"/>
    <w:rsid w:val="005A305E"/>
    <w:rsid w:val="005A30BB"/>
    <w:rsid w:val="005A318C"/>
    <w:rsid w:val="005A3887"/>
    <w:rsid w:val="005A3991"/>
    <w:rsid w:val="005A57EA"/>
    <w:rsid w:val="005A5E23"/>
    <w:rsid w:val="005A74CB"/>
    <w:rsid w:val="005A7DDD"/>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8FA"/>
    <w:rsid w:val="005C3F1F"/>
    <w:rsid w:val="005C40F4"/>
    <w:rsid w:val="005C43BE"/>
    <w:rsid w:val="005C44F3"/>
    <w:rsid w:val="005C4916"/>
    <w:rsid w:val="005C4BBD"/>
    <w:rsid w:val="005C6E4A"/>
    <w:rsid w:val="005C712D"/>
    <w:rsid w:val="005C7394"/>
    <w:rsid w:val="005C7827"/>
    <w:rsid w:val="005C7C75"/>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943"/>
    <w:rsid w:val="005D4EFA"/>
    <w:rsid w:val="005D4F01"/>
    <w:rsid w:val="005D5455"/>
    <w:rsid w:val="005D55BA"/>
    <w:rsid w:val="005D5ADB"/>
    <w:rsid w:val="005D648A"/>
    <w:rsid w:val="005D7E0D"/>
    <w:rsid w:val="005E0B3F"/>
    <w:rsid w:val="005E0C7F"/>
    <w:rsid w:val="005E1529"/>
    <w:rsid w:val="005E1D5A"/>
    <w:rsid w:val="005E1FBC"/>
    <w:rsid w:val="005E234A"/>
    <w:rsid w:val="005E2867"/>
    <w:rsid w:val="005E35CC"/>
    <w:rsid w:val="005E371E"/>
    <w:rsid w:val="005E3B3F"/>
    <w:rsid w:val="005E43E9"/>
    <w:rsid w:val="005E45CF"/>
    <w:rsid w:val="005E5036"/>
    <w:rsid w:val="005E53F9"/>
    <w:rsid w:val="005E7614"/>
    <w:rsid w:val="005E775D"/>
    <w:rsid w:val="005F03DA"/>
    <w:rsid w:val="005F0551"/>
    <w:rsid w:val="005F0A43"/>
    <w:rsid w:val="005F0E91"/>
    <w:rsid w:val="005F25A0"/>
    <w:rsid w:val="005F27BF"/>
    <w:rsid w:val="005F3D1F"/>
    <w:rsid w:val="005F4171"/>
    <w:rsid w:val="005F46D6"/>
    <w:rsid w:val="005F4758"/>
    <w:rsid w:val="005F4DD6"/>
    <w:rsid w:val="005F50D8"/>
    <w:rsid w:val="005F53A1"/>
    <w:rsid w:val="005F5879"/>
    <w:rsid w:val="005F65B2"/>
    <w:rsid w:val="005F6B77"/>
    <w:rsid w:val="005F7487"/>
    <w:rsid w:val="005F7625"/>
    <w:rsid w:val="006002C7"/>
    <w:rsid w:val="00600CBA"/>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0BB8"/>
    <w:rsid w:val="006130F7"/>
    <w:rsid w:val="00613AF8"/>
    <w:rsid w:val="00613D8E"/>
    <w:rsid w:val="006142E0"/>
    <w:rsid w:val="0061444B"/>
    <w:rsid w:val="00616112"/>
    <w:rsid w:val="00616999"/>
    <w:rsid w:val="006173CF"/>
    <w:rsid w:val="006175A0"/>
    <w:rsid w:val="006179FF"/>
    <w:rsid w:val="00620035"/>
    <w:rsid w:val="006205CA"/>
    <w:rsid w:val="00620FF4"/>
    <w:rsid w:val="00621F53"/>
    <w:rsid w:val="00622A6C"/>
    <w:rsid w:val="00622E2A"/>
    <w:rsid w:val="00622FD6"/>
    <w:rsid w:val="00623089"/>
    <w:rsid w:val="0062308E"/>
    <w:rsid w:val="006234C4"/>
    <w:rsid w:val="00623A6F"/>
    <w:rsid w:val="006244C9"/>
    <w:rsid w:val="006245F6"/>
    <w:rsid w:val="0062475D"/>
    <w:rsid w:val="0062495F"/>
    <w:rsid w:val="0062496B"/>
    <w:rsid w:val="00624CC4"/>
    <w:rsid w:val="006259EF"/>
    <w:rsid w:val="00625B48"/>
    <w:rsid w:val="0062660B"/>
    <w:rsid w:val="00626AD1"/>
    <w:rsid w:val="006272A4"/>
    <w:rsid w:val="00627A58"/>
    <w:rsid w:val="006300E9"/>
    <w:rsid w:val="006304BC"/>
    <w:rsid w:val="00630DCE"/>
    <w:rsid w:val="0063106D"/>
    <w:rsid w:val="0063120A"/>
    <w:rsid w:val="0063150B"/>
    <w:rsid w:val="00631585"/>
    <w:rsid w:val="00632303"/>
    <w:rsid w:val="00633B96"/>
    <w:rsid w:val="00634ACF"/>
    <w:rsid w:val="00635035"/>
    <w:rsid w:val="0063527D"/>
    <w:rsid w:val="0063580D"/>
    <w:rsid w:val="00635CAE"/>
    <w:rsid w:val="00637240"/>
    <w:rsid w:val="00637B7E"/>
    <w:rsid w:val="00642BAA"/>
    <w:rsid w:val="00643607"/>
    <w:rsid w:val="00643660"/>
    <w:rsid w:val="006447DC"/>
    <w:rsid w:val="00644C95"/>
    <w:rsid w:val="00645361"/>
    <w:rsid w:val="00645817"/>
    <w:rsid w:val="00646106"/>
    <w:rsid w:val="00646711"/>
    <w:rsid w:val="00647215"/>
    <w:rsid w:val="006475AB"/>
    <w:rsid w:val="00647CBC"/>
    <w:rsid w:val="00650139"/>
    <w:rsid w:val="006504F1"/>
    <w:rsid w:val="006506D5"/>
    <w:rsid w:val="00651704"/>
    <w:rsid w:val="0065185B"/>
    <w:rsid w:val="00652756"/>
    <w:rsid w:val="00652AD8"/>
    <w:rsid w:val="00652B79"/>
    <w:rsid w:val="006533C3"/>
    <w:rsid w:val="00654068"/>
    <w:rsid w:val="0065418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427F"/>
    <w:rsid w:val="00666BE8"/>
    <w:rsid w:val="0066732C"/>
    <w:rsid w:val="006679F5"/>
    <w:rsid w:val="00667B77"/>
    <w:rsid w:val="00667C64"/>
    <w:rsid w:val="00667D81"/>
    <w:rsid w:val="0067013A"/>
    <w:rsid w:val="00670F07"/>
    <w:rsid w:val="006710F1"/>
    <w:rsid w:val="006716DA"/>
    <w:rsid w:val="00671804"/>
    <w:rsid w:val="00672381"/>
    <w:rsid w:val="00672893"/>
    <w:rsid w:val="006728ED"/>
    <w:rsid w:val="00672EB7"/>
    <w:rsid w:val="006732B1"/>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7443"/>
    <w:rsid w:val="0067769A"/>
    <w:rsid w:val="0067773D"/>
    <w:rsid w:val="00677B6A"/>
    <w:rsid w:val="00680022"/>
    <w:rsid w:val="006806A3"/>
    <w:rsid w:val="006806A6"/>
    <w:rsid w:val="00680C38"/>
    <w:rsid w:val="0068118B"/>
    <w:rsid w:val="00681211"/>
    <w:rsid w:val="0068125F"/>
    <w:rsid w:val="00681B36"/>
    <w:rsid w:val="006823ED"/>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2C87"/>
    <w:rsid w:val="00693E1F"/>
    <w:rsid w:val="00693ECB"/>
    <w:rsid w:val="00694482"/>
    <w:rsid w:val="00694797"/>
    <w:rsid w:val="00694F2D"/>
    <w:rsid w:val="00695246"/>
    <w:rsid w:val="00695257"/>
    <w:rsid w:val="00695562"/>
    <w:rsid w:val="00695887"/>
    <w:rsid w:val="00695A06"/>
    <w:rsid w:val="006967ED"/>
    <w:rsid w:val="00697733"/>
    <w:rsid w:val="006A254E"/>
    <w:rsid w:val="006A2C30"/>
    <w:rsid w:val="006A2EE1"/>
    <w:rsid w:val="006A301C"/>
    <w:rsid w:val="006A307F"/>
    <w:rsid w:val="006A3E2B"/>
    <w:rsid w:val="006A3FF2"/>
    <w:rsid w:val="006A45D6"/>
    <w:rsid w:val="006A5DD8"/>
    <w:rsid w:val="006A60F4"/>
    <w:rsid w:val="006A6262"/>
    <w:rsid w:val="006A63D8"/>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1C6"/>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82F"/>
    <w:rsid w:val="006E4A2F"/>
    <w:rsid w:val="006E4ED4"/>
    <w:rsid w:val="006E5E19"/>
    <w:rsid w:val="006E61C3"/>
    <w:rsid w:val="006E799D"/>
    <w:rsid w:val="006F0593"/>
    <w:rsid w:val="006F0E17"/>
    <w:rsid w:val="006F1064"/>
    <w:rsid w:val="006F1B76"/>
    <w:rsid w:val="006F1EB7"/>
    <w:rsid w:val="006F1FFC"/>
    <w:rsid w:val="006F3DD9"/>
    <w:rsid w:val="006F49EF"/>
    <w:rsid w:val="006F4BE0"/>
    <w:rsid w:val="006F52E5"/>
    <w:rsid w:val="006F52FF"/>
    <w:rsid w:val="006F54E1"/>
    <w:rsid w:val="006F566D"/>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382"/>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0E2"/>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856"/>
    <w:rsid w:val="00754BD9"/>
    <w:rsid w:val="00754E7A"/>
    <w:rsid w:val="0075540C"/>
    <w:rsid w:val="00755DB1"/>
    <w:rsid w:val="007574FC"/>
    <w:rsid w:val="007603F1"/>
    <w:rsid w:val="00760975"/>
    <w:rsid w:val="00761A5B"/>
    <w:rsid w:val="00761FDA"/>
    <w:rsid w:val="007621FF"/>
    <w:rsid w:val="0076288E"/>
    <w:rsid w:val="007634E3"/>
    <w:rsid w:val="00764194"/>
    <w:rsid w:val="0076443E"/>
    <w:rsid w:val="00765ED3"/>
    <w:rsid w:val="0076681D"/>
    <w:rsid w:val="00766A65"/>
    <w:rsid w:val="00766A9C"/>
    <w:rsid w:val="007671F5"/>
    <w:rsid w:val="007676B8"/>
    <w:rsid w:val="0077175C"/>
    <w:rsid w:val="00771870"/>
    <w:rsid w:val="00771BF9"/>
    <w:rsid w:val="00772E04"/>
    <w:rsid w:val="00772F8A"/>
    <w:rsid w:val="00773078"/>
    <w:rsid w:val="00773641"/>
    <w:rsid w:val="007739C6"/>
    <w:rsid w:val="00774889"/>
    <w:rsid w:val="00774FF5"/>
    <w:rsid w:val="00775042"/>
    <w:rsid w:val="007750B3"/>
    <w:rsid w:val="00775F76"/>
    <w:rsid w:val="00776080"/>
    <w:rsid w:val="007760F2"/>
    <w:rsid w:val="00776AEA"/>
    <w:rsid w:val="00777444"/>
    <w:rsid w:val="00777A6C"/>
    <w:rsid w:val="00777BA0"/>
    <w:rsid w:val="007803BD"/>
    <w:rsid w:val="00780507"/>
    <w:rsid w:val="007811DC"/>
    <w:rsid w:val="00781899"/>
    <w:rsid w:val="007820FA"/>
    <w:rsid w:val="00782371"/>
    <w:rsid w:val="00782372"/>
    <w:rsid w:val="0078285F"/>
    <w:rsid w:val="00783207"/>
    <w:rsid w:val="0078346F"/>
    <w:rsid w:val="00783D95"/>
    <w:rsid w:val="00783E1D"/>
    <w:rsid w:val="0078483B"/>
    <w:rsid w:val="00784C52"/>
    <w:rsid w:val="00784D3C"/>
    <w:rsid w:val="00784EED"/>
    <w:rsid w:val="007851E8"/>
    <w:rsid w:val="00785852"/>
    <w:rsid w:val="00785900"/>
    <w:rsid w:val="00786810"/>
    <w:rsid w:val="00786958"/>
    <w:rsid w:val="00786A97"/>
    <w:rsid w:val="00786E71"/>
    <w:rsid w:val="007908F8"/>
    <w:rsid w:val="0079095E"/>
    <w:rsid w:val="00791047"/>
    <w:rsid w:val="00791604"/>
    <w:rsid w:val="0079162F"/>
    <w:rsid w:val="00791FD6"/>
    <w:rsid w:val="00792D06"/>
    <w:rsid w:val="00794924"/>
    <w:rsid w:val="0079506E"/>
    <w:rsid w:val="007967D1"/>
    <w:rsid w:val="007A04E7"/>
    <w:rsid w:val="007A0BC2"/>
    <w:rsid w:val="007A131B"/>
    <w:rsid w:val="007A1F44"/>
    <w:rsid w:val="007A23FF"/>
    <w:rsid w:val="007A25D6"/>
    <w:rsid w:val="007A261F"/>
    <w:rsid w:val="007A295B"/>
    <w:rsid w:val="007A3424"/>
    <w:rsid w:val="007A35EF"/>
    <w:rsid w:val="007A43A2"/>
    <w:rsid w:val="007A4930"/>
    <w:rsid w:val="007A4D04"/>
    <w:rsid w:val="007A4D54"/>
    <w:rsid w:val="007A59F6"/>
    <w:rsid w:val="007A6C97"/>
    <w:rsid w:val="007A7A96"/>
    <w:rsid w:val="007B03AF"/>
    <w:rsid w:val="007B0B2D"/>
    <w:rsid w:val="007B10CC"/>
    <w:rsid w:val="007B1210"/>
    <w:rsid w:val="007B1543"/>
    <w:rsid w:val="007B1AC0"/>
    <w:rsid w:val="007B1B9F"/>
    <w:rsid w:val="007B25A8"/>
    <w:rsid w:val="007B270A"/>
    <w:rsid w:val="007B2D3B"/>
    <w:rsid w:val="007B2E96"/>
    <w:rsid w:val="007B3E49"/>
    <w:rsid w:val="007B52CD"/>
    <w:rsid w:val="007B531C"/>
    <w:rsid w:val="007B5AC7"/>
    <w:rsid w:val="007B6676"/>
    <w:rsid w:val="007B6AFA"/>
    <w:rsid w:val="007B7557"/>
    <w:rsid w:val="007B7B02"/>
    <w:rsid w:val="007B7DC1"/>
    <w:rsid w:val="007B7EDB"/>
    <w:rsid w:val="007C0718"/>
    <w:rsid w:val="007C125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312"/>
    <w:rsid w:val="007D4D33"/>
    <w:rsid w:val="007D5403"/>
    <w:rsid w:val="007D5ACC"/>
    <w:rsid w:val="007D62A9"/>
    <w:rsid w:val="007D6722"/>
    <w:rsid w:val="007D7175"/>
    <w:rsid w:val="007D73F9"/>
    <w:rsid w:val="007D7ADE"/>
    <w:rsid w:val="007E00F9"/>
    <w:rsid w:val="007E02A5"/>
    <w:rsid w:val="007E042E"/>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0792"/>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5F98"/>
    <w:rsid w:val="007F6851"/>
    <w:rsid w:val="007F6880"/>
    <w:rsid w:val="007F76B4"/>
    <w:rsid w:val="007F7E00"/>
    <w:rsid w:val="008001B4"/>
    <w:rsid w:val="008003BF"/>
    <w:rsid w:val="008003C5"/>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2A0"/>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1B8F"/>
    <w:rsid w:val="008221B3"/>
    <w:rsid w:val="0082248E"/>
    <w:rsid w:val="00822944"/>
    <w:rsid w:val="00822F2E"/>
    <w:rsid w:val="00823FB6"/>
    <w:rsid w:val="00824B6F"/>
    <w:rsid w:val="00824FDF"/>
    <w:rsid w:val="00825125"/>
    <w:rsid w:val="008253AB"/>
    <w:rsid w:val="008256EA"/>
    <w:rsid w:val="00825749"/>
    <w:rsid w:val="008257CC"/>
    <w:rsid w:val="00825F5C"/>
    <w:rsid w:val="008272E2"/>
    <w:rsid w:val="008274BF"/>
    <w:rsid w:val="00827A7E"/>
    <w:rsid w:val="00830DC3"/>
    <w:rsid w:val="00831555"/>
    <w:rsid w:val="0083188C"/>
    <w:rsid w:val="00831F52"/>
    <w:rsid w:val="00832154"/>
    <w:rsid w:val="00832F5C"/>
    <w:rsid w:val="00834046"/>
    <w:rsid w:val="00834128"/>
    <w:rsid w:val="00834301"/>
    <w:rsid w:val="00834DE6"/>
    <w:rsid w:val="00834ECD"/>
    <w:rsid w:val="008359E0"/>
    <w:rsid w:val="0083689A"/>
    <w:rsid w:val="0083746C"/>
    <w:rsid w:val="008376F6"/>
    <w:rsid w:val="00837B08"/>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9C"/>
    <w:rsid w:val="008474A7"/>
    <w:rsid w:val="008505B7"/>
    <w:rsid w:val="008506B6"/>
    <w:rsid w:val="0085083C"/>
    <w:rsid w:val="00850AE0"/>
    <w:rsid w:val="00851CE6"/>
    <w:rsid w:val="008524D2"/>
    <w:rsid w:val="00852E19"/>
    <w:rsid w:val="00853460"/>
    <w:rsid w:val="008544C5"/>
    <w:rsid w:val="008551A3"/>
    <w:rsid w:val="008559E1"/>
    <w:rsid w:val="00856403"/>
    <w:rsid w:val="00856441"/>
    <w:rsid w:val="00856833"/>
    <w:rsid w:val="00856840"/>
    <w:rsid w:val="0086087C"/>
    <w:rsid w:val="0086099F"/>
    <w:rsid w:val="00860D8E"/>
    <w:rsid w:val="00861562"/>
    <w:rsid w:val="008617B9"/>
    <w:rsid w:val="00861D51"/>
    <w:rsid w:val="00862040"/>
    <w:rsid w:val="0086275E"/>
    <w:rsid w:val="00863CDF"/>
    <w:rsid w:val="00864384"/>
    <w:rsid w:val="00864440"/>
    <w:rsid w:val="00864D76"/>
    <w:rsid w:val="008650FC"/>
    <w:rsid w:val="00866E61"/>
    <w:rsid w:val="00866EB3"/>
    <w:rsid w:val="0086701A"/>
    <w:rsid w:val="00867BD2"/>
    <w:rsid w:val="00867EE8"/>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69A1"/>
    <w:rsid w:val="00877049"/>
    <w:rsid w:val="00877F56"/>
    <w:rsid w:val="00880933"/>
    <w:rsid w:val="00880D53"/>
    <w:rsid w:val="00880F30"/>
    <w:rsid w:val="00881072"/>
    <w:rsid w:val="00881E99"/>
    <w:rsid w:val="00882238"/>
    <w:rsid w:val="0088226F"/>
    <w:rsid w:val="008833E8"/>
    <w:rsid w:val="008840EA"/>
    <w:rsid w:val="00885E13"/>
    <w:rsid w:val="00886333"/>
    <w:rsid w:val="008865C8"/>
    <w:rsid w:val="008872EC"/>
    <w:rsid w:val="00887B48"/>
    <w:rsid w:val="00890EC6"/>
    <w:rsid w:val="0089111A"/>
    <w:rsid w:val="0089176E"/>
    <w:rsid w:val="008917E0"/>
    <w:rsid w:val="008918B6"/>
    <w:rsid w:val="00892365"/>
    <w:rsid w:val="00892B0F"/>
    <w:rsid w:val="00892BE5"/>
    <w:rsid w:val="0089387C"/>
    <w:rsid w:val="0089444E"/>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1F07"/>
    <w:rsid w:val="008B24DC"/>
    <w:rsid w:val="008B250F"/>
    <w:rsid w:val="008B2E11"/>
    <w:rsid w:val="008B389D"/>
    <w:rsid w:val="008B3C5C"/>
    <w:rsid w:val="008B421E"/>
    <w:rsid w:val="008B50E1"/>
    <w:rsid w:val="008B5299"/>
    <w:rsid w:val="008B5A5F"/>
    <w:rsid w:val="008B5AB0"/>
    <w:rsid w:val="008B5D36"/>
    <w:rsid w:val="008B5EA7"/>
    <w:rsid w:val="008B6054"/>
    <w:rsid w:val="008B7B08"/>
    <w:rsid w:val="008C0144"/>
    <w:rsid w:val="008C068D"/>
    <w:rsid w:val="008C0724"/>
    <w:rsid w:val="008C13F0"/>
    <w:rsid w:val="008C1651"/>
    <w:rsid w:val="008C1F26"/>
    <w:rsid w:val="008C1F57"/>
    <w:rsid w:val="008C2469"/>
    <w:rsid w:val="008C2A3A"/>
    <w:rsid w:val="008C2DAD"/>
    <w:rsid w:val="008C376C"/>
    <w:rsid w:val="008C47A0"/>
    <w:rsid w:val="008C4C7E"/>
    <w:rsid w:val="008C56FB"/>
    <w:rsid w:val="008C5C46"/>
    <w:rsid w:val="008C6184"/>
    <w:rsid w:val="008C6865"/>
    <w:rsid w:val="008C7008"/>
    <w:rsid w:val="008C785E"/>
    <w:rsid w:val="008C7DD4"/>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60BC"/>
    <w:rsid w:val="008D6B0C"/>
    <w:rsid w:val="008D6D7B"/>
    <w:rsid w:val="008D7D04"/>
    <w:rsid w:val="008D7EB7"/>
    <w:rsid w:val="008E003D"/>
    <w:rsid w:val="008E0430"/>
    <w:rsid w:val="008E0EB8"/>
    <w:rsid w:val="008E10A6"/>
    <w:rsid w:val="008E1271"/>
    <w:rsid w:val="008E1A5B"/>
    <w:rsid w:val="008E2251"/>
    <w:rsid w:val="008E230B"/>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3D8"/>
    <w:rsid w:val="008F2FD5"/>
    <w:rsid w:val="008F31F2"/>
    <w:rsid w:val="008F37E5"/>
    <w:rsid w:val="008F3A91"/>
    <w:rsid w:val="008F42B5"/>
    <w:rsid w:val="008F48C2"/>
    <w:rsid w:val="008F4DF9"/>
    <w:rsid w:val="008F5840"/>
    <w:rsid w:val="008F5EEF"/>
    <w:rsid w:val="008F66FE"/>
    <w:rsid w:val="008F72CC"/>
    <w:rsid w:val="008F72CD"/>
    <w:rsid w:val="008F7575"/>
    <w:rsid w:val="008F7A35"/>
    <w:rsid w:val="009006B8"/>
    <w:rsid w:val="00900712"/>
    <w:rsid w:val="00900727"/>
    <w:rsid w:val="00900760"/>
    <w:rsid w:val="00903802"/>
    <w:rsid w:val="00904640"/>
    <w:rsid w:val="00904748"/>
    <w:rsid w:val="00904B8E"/>
    <w:rsid w:val="00904E27"/>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56D"/>
    <w:rsid w:val="0091291A"/>
    <w:rsid w:val="00912F56"/>
    <w:rsid w:val="009133A6"/>
    <w:rsid w:val="00913612"/>
    <w:rsid w:val="0091366A"/>
    <w:rsid w:val="00913824"/>
    <w:rsid w:val="00914BF2"/>
    <w:rsid w:val="00915365"/>
    <w:rsid w:val="00915757"/>
    <w:rsid w:val="009159B3"/>
    <w:rsid w:val="00915FC5"/>
    <w:rsid w:val="0091607D"/>
    <w:rsid w:val="00916181"/>
    <w:rsid w:val="00916198"/>
    <w:rsid w:val="00917D77"/>
    <w:rsid w:val="009204C5"/>
    <w:rsid w:val="00920BC4"/>
    <w:rsid w:val="0092180D"/>
    <w:rsid w:val="009218BD"/>
    <w:rsid w:val="00922A0E"/>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486"/>
    <w:rsid w:val="009435F2"/>
    <w:rsid w:val="009446D2"/>
    <w:rsid w:val="00944856"/>
    <w:rsid w:val="00944A1A"/>
    <w:rsid w:val="00945180"/>
    <w:rsid w:val="0094590C"/>
    <w:rsid w:val="00946355"/>
    <w:rsid w:val="009468B7"/>
    <w:rsid w:val="0094724E"/>
    <w:rsid w:val="00947973"/>
    <w:rsid w:val="00947BE6"/>
    <w:rsid w:val="00950405"/>
    <w:rsid w:val="0095048D"/>
    <w:rsid w:val="00950729"/>
    <w:rsid w:val="00951300"/>
    <w:rsid w:val="00951558"/>
    <w:rsid w:val="00951940"/>
    <w:rsid w:val="00951ADB"/>
    <w:rsid w:val="00951E39"/>
    <w:rsid w:val="0095380C"/>
    <w:rsid w:val="00954353"/>
    <w:rsid w:val="00955755"/>
    <w:rsid w:val="00955985"/>
    <w:rsid w:val="00955C0A"/>
    <w:rsid w:val="00955C4F"/>
    <w:rsid w:val="00956109"/>
    <w:rsid w:val="009575AA"/>
    <w:rsid w:val="00957B0D"/>
    <w:rsid w:val="00960634"/>
    <w:rsid w:val="00960CE7"/>
    <w:rsid w:val="00961A13"/>
    <w:rsid w:val="00962EB2"/>
    <w:rsid w:val="00963B86"/>
    <w:rsid w:val="0096446D"/>
    <w:rsid w:val="00964777"/>
    <w:rsid w:val="009657F1"/>
    <w:rsid w:val="00965CB7"/>
    <w:rsid w:val="0096610C"/>
    <w:rsid w:val="0096625D"/>
    <w:rsid w:val="0096648B"/>
    <w:rsid w:val="009664F5"/>
    <w:rsid w:val="009666E5"/>
    <w:rsid w:val="009701A0"/>
    <w:rsid w:val="009709F8"/>
    <w:rsid w:val="009718B3"/>
    <w:rsid w:val="0097271B"/>
    <w:rsid w:val="009728F6"/>
    <w:rsid w:val="00972929"/>
    <w:rsid w:val="00972F91"/>
    <w:rsid w:val="0097317C"/>
    <w:rsid w:val="00973827"/>
    <w:rsid w:val="009739F2"/>
    <w:rsid w:val="00973D63"/>
    <w:rsid w:val="009742D3"/>
    <w:rsid w:val="00974353"/>
    <w:rsid w:val="009749D0"/>
    <w:rsid w:val="0097597B"/>
    <w:rsid w:val="00975EA4"/>
    <w:rsid w:val="00976F32"/>
    <w:rsid w:val="009770BB"/>
    <w:rsid w:val="00977BA7"/>
    <w:rsid w:val="00977E45"/>
    <w:rsid w:val="00977EB0"/>
    <w:rsid w:val="009801D4"/>
    <w:rsid w:val="00980506"/>
    <w:rsid w:val="00980517"/>
    <w:rsid w:val="0098086D"/>
    <w:rsid w:val="0098194F"/>
    <w:rsid w:val="009826C8"/>
    <w:rsid w:val="00982F56"/>
    <w:rsid w:val="00982F5C"/>
    <w:rsid w:val="00983686"/>
    <w:rsid w:val="009836E4"/>
    <w:rsid w:val="00983B6C"/>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0D"/>
    <w:rsid w:val="0099155F"/>
    <w:rsid w:val="0099196F"/>
    <w:rsid w:val="00992B98"/>
    <w:rsid w:val="0099359F"/>
    <w:rsid w:val="00994871"/>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A010D"/>
    <w:rsid w:val="009A0C6F"/>
    <w:rsid w:val="009A14EF"/>
    <w:rsid w:val="009A1729"/>
    <w:rsid w:val="009A17DA"/>
    <w:rsid w:val="009A2DF9"/>
    <w:rsid w:val="009A3A86"/>
    <w:rsid w:val="009A42B6"/>
    <w:rsid w:val="009A4869"/>
    <w:rsid w:val="009A678F"/>
    <w:rsid w:val="009A6916"/>
    <w:rsid w:val="009A6A6B"/>
    <w:rsid w:val="009A7A8D"/>
    <w:rsid w:val="009A7DAA"/>
    <w:rsid w:val="009B03F6"/>
    <w:rsid w:val="009B05C8"/>
    <w:rsid w:val="009B1EF9"/>
    <w:rsid w:val="009B2365"/>
    <w:rsid w:val="009B24E0"/>
    <w:rsid w:val="009B26AC"/>
    <w:rsid w:val="009B304C"/>
    <w:rsid w:val="009B35DA"/>
    <w:rsid w:val="009B37E2"/>
    <w:rsid w:val="009B37FF"/>
    <w:rsid w:val="009B3E5E"/>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1D5"/>
    <w:rsid w:val="009C2685"/>
    <w:rsid w:val="009C2CE0"/>
    <w:rsid w:val="009C37ED"/>
    <w:rsid w:val="009C39BC"/>
    <w:rsid w:val="009C45F0"/>
    <w:rsid w:val="009C4BC2"/>
    <w:rsid w:val="009C4D22"/>
    <w:rsid w:val="009C4E05"/>
    <w:rsid w:val="009C5144"/>
    <w:rsid w:val="009C70EA"/>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6C0F"/>
    <w:rsid w:val="009D7057"/>
    <w:rsid w:val="009D7580"/>
    <w:rsid w:val="009E058F"/>
    <w:rsid w:val="009E0A9E"/>
    <w:rsid w:val="009E0F49"/>
    <w:rsid w:val="009E19A2"/>
    <w:rsid w:val="009E2BAE"/>
    <w:rsid w:val="009E3AFD"/>
    <w:rsid w:val="009E3CDD"/>
    <w:rsid w:val="009E3DB5"/>
    <w:rsid w:val="009E4546"/>
    <w:rsid w:val="009E4A12"/>
    <w:rsid w:val="009E4AC4"/>
    <w:rsid w:val="009E4ACB"/>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840"/>
    <w:rsid w:val="009F3FB5"/>
    <w:rsid w:val="009F4129"/>
    <w:rsid w:val="009F4B00"/>
    <w:rsid w:val="009F4DA4"/>
    <w:rsid w:val="009F521F"/>
    <w:rsid w:val="009F5356"/>
    <w:rsid w:val="009F553C"/>
    <w:rsid w:val="009F59F8"/>
    <w:rsid w:val="00A00457"/>
    <w:rsid w:val="00A005B0"/>
    <w:rsid w:val="00A01370"/>
    <w:rsid w:val="00A01373"/>
    <w:rsid w:val="00A01514"/>
    <w:rsid w:val="00A01F17"/>
    <w:rsid w:val="00A01F48"/>
    <w:rsid w:val="00A022A5"/>
    <w:rsid w:val="00A0254C"/>
    <w:rsid w:val="00A02E38"/>
    <w:rsid w:val="00A03A22"/>
    <w:rsid w:val="00A04294"/>
    <w:rsid w:val="00A04634"/>
    <w:rsid w:val="00A0497B"/>
    <w:rsid w:val="00A04D67"/>
    <w:rsid w:val="00A05672"/>
    <w:rsid w:val="00A06119"/>
    <w:rsid w:val="00A063A5"/>
    <w:rsid w:val="00A0642B"/>
    <w:rsid w:val="00A06E12"/>
    <w:rsid w:val="00A0703A"/>
    <w:rsid w:val="00A072E3"/>
    <w:rsid w:val="00A07A48"/>
    <w:rsid w:val="00A108EE"/>
    <w:rsid w:val="00A10BB8"/>
    <w:rsid w:val="00A118AC"/>
    <w:rsid w:val="00A11B9C"/>
    <w:rsid w:val="00A11C08"/>
    <w:rsid w:val="00A11F8C"/>
    <w:rsid w:val="00A1200D"/>
    <w:rsid w:val="00A13415"/>
    <w:rsid w:val="00A137E4"/>
    <w:rsid w:val="00A13DDD"/>
    <w:rsid w:val="00A14008"/>
    <w:rsid w:val="00A145A4"/>
    <w:rsid w:val="00A14813"/>
    <w:rsid w:val="00A14976"/>
    <w:rsid w:val="00A150B2"/>
    <w:rsid w:val="00A1566A"/>
    <w:rsid w:val="00A15AE1"/>
    <w:rsid w:val="00A165BF"/>
    <w:rsid w:val="00A16E83"/>
    <w:rsid w:val="00A172E8"/>
    <w:rsid w:val="00A179FF"/>
    <w:rsid w:val="00A2009D"/>
    <w:rsid w:val="00A205C9"/>
    <w:rsid w:val="00A21351"/>
    <w:rsid w:val="00A213FC"/>
    <w:rsid w:val="00A21A36"/>
    <w:rsid w:val="00A21DF7"/>
    <w:rsid w:val="00A22401"/>
    <w:rsid w:val="00A2275C"/>
    <w:rsid w:val="00A229D9"/>
    <w:rsid w:val="00A22A44"/>
    <w:rsid w:val="00A22FE5"/>
    <w:rsid w:val="00A23C0B"/>
    <w:rsid w:val="00A23F8E"/>
    <w:rsid w:val="00A25294"/>
    <w:rsid w:val="00A254EE"/>
    <w:rsid w:val="00A25BE7"/>
    <w:rsid w:val="00A26475"/>
    <w:rsid w:val="00A26F7C"/>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1278"/>
    <w:rsid w:val="00A41CD0"/>
    <w:rsid w:val="00A42318"/>
    <w:rsid w:val="00A428FB"/>
    <w:rsid w:val="00A4376F"/>
    <w:rsid w:val="00A43B23"/>
    <w:rsid w:val="00A43FD0"/>
    <w:rsid w:val="00A44919"/>
    <w:rsid w:val="00A4549F"/>
    <w:rsid w:val="00A456D2"/>
    <w:rsid w:val="00A45B9B"/>
    <w:rsid w:val="00A45C93"/>
    <w:rsid w:val="00A460BF"/>
    <w:rsid w:val="00A462FE"/>
    <w:rsid w:val="00A46C98"/>
    <w:rsid w:val="00A46EFA"/>
    <w:rsid w:val="00A4739F"/>
    <w:rsid w:val="00A4787E"/>
    <w:rsid w:val="00A501C9"/>
    <w:rsid w:val="00A50506"/>
    <w:rsid w:val="00A50F0F"/>
    <w:rsid w:val="00A516A3"/>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177F"/>
    <w:rsid w:val="00A62080"/>
    <w:rsid w:val="00A62322"/>
    <w:rsid w:val="00A62891"/>
    <w:rsid w:val="00A630A2"/>
    <w:rsid w:val="00A632B8"/>
    <w:rsid w:val="00A63A25"/>
    <w:rsid w:val="00A63BF3"/>
    <w:rsid w:val="00A64942"/>
    <w:rsid w:val="00A65911"/>
    <w:rsid w:val="00A65AFC"/>
    <w:rsid w:val="00A65C0A"/>
    <w:rsid w:val="00A6643C"/>
    <w:rsid w:val="00A664E3"/>
    <w:rsid w:val="00A66F8E"/>
    <w:rsid w:val="00A67422"/>
    <w:rsid w:val="00A67544"/>
    <w:rsid w:val="00A67678"/>
    <w:rsid w:val="00A67E47"/>
    <w:rsid w:val="00A7000A"/>
    <w:rsid w:val="00A7075B"/>
    <w:rsid w:val="00A708D3"/>
    <w:rsid w:val="00A71629"/>
    <w:rsid w:val="00A71CE6"/>
    <w:rsid w:val="00A71D23"/>
    <w:rsid w:val="00A730E7"/>
    <w:rsid w:val="00A73323"/>
    <w:rsid w:val="00A7333A"/>
    <w:rsid w:val="00A736B2"/>
    <w:rsid w:val="00A73D0D"/>
    <w:rsid w:val="00A74797"/>
    <w:rsid w:val="00A74A92"/>
    <w:rsid w:val="00A74E31"/>
    <w:rsid w:val="00A74FF3"/>
    <w:rsid w:val="00A751CB"/>
    <w:rsid w:val="00A75399"/>
    <w:rsid w:val="00A759DC"/>
    <w:rsid w:val="00A75B8D"/>
    <w:rsid w:val="00A75CC1"/>
    <w:rsid w:val="00A75E88"/>
    <w:rsid w:val="00A7611B"/>
    <w:rsid w:val="00A77802"/>
    <w:rsid w:val="00A8056E"/>
    <w:rsid w:val="00A814BC"/>
    <w:rsid w:val="00A82D58"/>
    <w:rsid w:val="00A8399D"/>
    <w:rsid w:val="00A83E3D"/>
    <w:rsid w:val="00A8443A"/>
    <w:rsid w:val="00A8479C"/>
    <w:rsid w:val="00A8557B"/>
    <w:rsid w:val="00A855A6"/>
    <w:rsid w:val="00A85A05"/>
    <w:rsid w:val="00A85D99"/>
    <w:rsid w:val="00A86800"/>
    <w:rsid w:val="00A86D63"/>
    <w:rsid w:val="00A87376"/>
    <w:rsid w:val="00A87797"/>
    <w:rsid w:val="00A90165"/>
    <w:rsid w:val="00A90E72"/>
    <w:rsid w:val="00A91399"/>
    <w:rsid w:val="00A92286"/>
    <w:rsid w:val="00A922A2"/>
    <w:rsid w:val="00A93050"/>
    <w:rsid w:val="00A931F9"/>
    <w:rsid w:val="00A9327B"/>
    <w:rsid w:val="00A9361B"/>
    <w:rsid w:val="00A93B69"/>
    <w:rsid w:val="00A94335"/>
    <w:rsid w:val="00A94ADB"/>
    <w:rsid w:val="00A95C8A"/>
    <w:rsid w:val="00A963C7"/>
    <w:rsid w:val="00A96C23"/>
    <w:rsid w:val="00AA02C3"/>
    <w:rsid w:val="00AA080D"/>
    <w:rsid w:val="00AA0BF5"/>
    <w:rsid w:val="00AA1626"/>
    <w:rsid w:val="00AA1C25"/>
    <w:rsid w:val="00AA1C7A"/>
    <w:rsid w:val="00AA2133"/>
    <w:rsid w:val="00AA34F0"/>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E6C"/>
    <w:rsid w:val="00AC4A00"/>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25A"/>
    <w:rsid w:val="00AE459D"/>
    <w:rsid w:val="00AE4B4A"/>
    <w:rsid w:val="00AE4DDA"/>
    <w:rsid w:val="00AE59EC"/>
    <w:rsid w:val="00AE67B3"/>
    <w:rsid w:val="00AE6BE1"/>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B3E"/>
    <w:rsid w:val="00AF73C3"/>
    <w:rsid w:val="00AF73DB"/>
    <w:rsid w:val="00AF73FA"/>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5A7"/>
    <w:rsid w:val="00B04B60"/>
    <w:rsid w:val="00B04D88"/>
    <w:rsid w:val="00B07150"/>
    <w:rsid w:val="00B07821"/>
    <w:rsid w:val="00B10558"/>
    <w:rsid w:val="00B12EF9"/>
    <w:rsid w:val="00B143EF"/>
    <w:rsid w:val="00B14680"/>
    <w:rsid w:val="00B149F1"/>
    <w:rsid w:val="00B14E29"/>
    <w:rsid w:val="00B151F1"/>
    <w:rsid w:val="00B156A9"/>
    <w:rsid w:val="00B15F83"/>
    <w:rsid w:val="00B15FC2"/>
    <w:rsid w:val="00B160FF"/>
    <w:rsid w:val="00B16322"/>
    <w:rsid w:val="00B1662E"/>
    <w:rsid w:val="00B16A6F"/>
    <w:rsid w:val="00B176DC"/>
    <w:rsid w:val="00B204A9"/>
    <w:rsid w:val="00B2073D"/>
    <w:rsid w:val="00B2223A"/>
    <w:rsid w:val="00B22611"/>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60EF"/>
    <w:rsid w:val="00B372F2"/>
    <w:rsid w:val="00B37666"/>
    <w:rsid w:val="00B378C0"/>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5E5"/>
    <w:rsid w:val="00B5310E"/>
    <w:rsid w:val="00B5321B"/>
    <w:rsid w:val="00B533D9"/>
    <w:rsid w:val="00B54ACC"/>
    <w:rsid w:val="00B54B63"/>
    <w:rsid w:val="00B54DCB"/>
    <w:rsid w:val="00B55AC2"/>
    <w:rsid w:val="00B55B5A"/>
    <w:rsid w:val="00B560C9"/>
    <w:rsid w:val="00B561C6"/>
    <w:rsid w:val="00B5641C"/>
    <w:rsid w:val="00B56533"/>
    <w:rsid w:val="00B56569"/>
    <w:rsid w:val="00B56CFC"/>
    <w:rsid w:val="00B57777"/>
    <w:rsid w:val="00B57A17"/>
    <w:rsid w:val="00B60550"/>
    <w:rsid w:val="00B60F14"/>
    <w:rsid w:val="00B617FB"/>
    <w:rsid w:val="00B6186B"/>
    <w:rsid w:val="00B61B79"/>
    <w:rsid w:val="00B61BE2"/>
    <w:rsid w:val="00B6266F"/>
    <w:rsid w:val="00B62907"/>
    <w:rsid w:val="00B62955"/>
    <w:rsid w:val="00B62E0B"/>
    <w:rsid w:val="00B63C32"/>
    <w:rsid w:val="00B64434"/>
    <w:rsid w:val="00B656BE"/>
    <w:rsid w:val="00B657E1"/>
    <w:rsid w:val="00B659C5"/>
    <w:rsid w:val="00B66559"/>
    <w:rsid w:val="00B66B63"/>
    <w:rsid w:val="00B66EFE"/>
    <w:rsid w:val="00B70D58"/>
    <w:rsid w:val="00B70E15"/>
    <w:rsid w:val="00B711CE"/>
    <w:rsid w:val="00B71CA8"/>
    <w:rsid w:val="00B71DC8"/>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5A"/>
    <w:rsid w:val="00B80B71"/>
    <w:rsid w:val="00B818F4"/>
    <w:rsid w:val="00B81BC9"/>
    <w:rsid w:val="00B82148"/>
    <w:rsid w:val="00B8222F"/>
    <w:rsid w:val="00B8258F"/>
    <w:rsid w:val="00B82615"/>
    <w:rsid w:val="00B829BE"/>
    <w:rsid w:val="00B82CF3"/>
    <w:rsid w:val="00B83444"/>
    <w:rsid w:val="00B836ED"/>
    <w:rsid w:val="00B8373A"/>
    <w:rsid w:val="00B84425"/>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4C55"/>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5FB"/>
    <w:rsid w:val="00BC46EF"/>
    <w:rsid w:val="00BC4A0D"/>
    <w:rsid w:val="00BC4AC5"/>
    <w:rsid w:val="00BC4C64"/>
    <w:rsid w:val="00BC6164"/>
    <w:rsid w:val="00BC6361"/>
    <w:rsid w:val="00BC6BC1"/>
    <w:rsid w:val="00BC6FD6"/>
    <w:rsid w:val="00BC793D"/>
    <w:rsid w:val="00BD008E"/>
    <w:rsid w:val="00BD0444"/>
    <w:rsid w:val="00BD051B"/>
    <w:rsid w:val="00BD0DCA"/>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EC2"/>
    <w:rsid w:val="00BE5FC4"/>
    <w:rsid w:val="00BE65AF"/>
    <w:rsid w:val="00BE68B3"/>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9CE"/>
    <w:rsid w:val="00BF27FB"/>
    <w:rsid w:val="00BF2B6F"/>
    <w:rsid w:val="00BF351A"/>
    <w:rsid w:val="00BF3914"/>
    <w:rsid w:val="00BF49B1"/>
    <w:rsid w:val="00BF507C"/>
    <w:rsid w:val="00BF5552"/>
    <w:rsid w:val="00BF5ABE"/>
    <w:rsid w:val="00BF5CC9"/>
    <w:rsid w:val="00BF5F2E"/>
    <w:rsid w:val="00BF6CBF"/>
    <w:rsid w:val="00BF73F2"/>
    <w:rsid w:val="00BF7402"/>
    <w:rsid w:val="00C009D4"/>
    <w:rsid w:val="00C01671"/>
    <w:rsid w:val="00C02419"/>
    <w:rsid w:val="00C02766"/>
    <w:rsid w:val="00C02F76"/>
    <w:rsid w:val="00C03231"/>
    <w:rsid w:val="00C03914"/>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16CEF"/>
    <w:rsid w:val="00C20A00"/>
    <w:rsid w:val="00C21673"/>
    <w:rsid w:val="00C21C7A"/>
    <w:rsid w:val="00C23130"/>
    <w:rsid w:val="00C24631"/>
    <w:rsid w:val="00C255A5"/>
    <w:rsid w:val="00C25758"/>
    <w:rsid w:val="00C2584B"/>
    <w:rsid w:val="00C25942"/>
    <w:rsid w:val="00C25D34"/>
    <w:rsid w:val="00C25DD9"/>
    <w:rsid w:val="00C2663F"/>
    <w:rsid w:val="00C26DB8"/>
    <w:rsid w:val="00C271F4"/>
    <w:rsid w:val="00C272EF"/>
    <w:rsid w:val="00C2769C"/>
    <w:rsid w:val="00C27943"/>
    <w:rsid w:val="00C30E58"/>
    <w:rsid w:val="00C312BD"/>
    <w:rsid w:val="00C32045"/>
    <w:rsid w:val="00C32217"/>
    <w:rsid w:val="00C32A49"/>
    <w:rsid w:val="00C336F3"/>
    <w:rsid w:val="00C3400F"/>
    <w:rsid w:val="00C344A0"/>
    <w:rsid w:val="00C346D0"/>
    <w:rsid w:val="00C34B64"/>
    <w:rsid w:val="00C34C36"/>
    <w:rsid w:val="00C34C82"/>
    <w:rsid w:val="00C352B3"/>
    <w:rsid w:val="00C353AE"/>
    <w:rsid w:val="00C35DA4"/>
    <w:rsid w:val="00C3654C"/>
    <w:rsid w:val="00C36729"/>
    <w:rsid w:val="00C36BF5"/>
    <w:rsid w:val="00C36DAD"/>
    <w:rsid w:val="00C36DBC"/>
    <w:rsid w:val="00C376BA"/>
    <w:rsid w:val="00C3787F"/>
    <w:rsid w:val="00C40373"/>
    <w:rsid w:val="00C4082D"/>
    <w:rsid w:val="00C40AE6"/>
    <w:rsid w:val="00C40D8C"/>
    <w:rsid w:val="00C411AF"/>
    <w:rsid w:val="00C41295"/>
    <w:rsid w:val="00C4138D"/>
    <w:rsid w:val="00C413CB"/>
    <w:rsid w:val="00C41D0E"/>
    <w:rsid w:val="00C41D4B"/>
    <w:rsid w:val="00C41E3A"/>
    <w:rsid w:val="00C4304C"/>
    <w:rsid w:val="00C43315"/>
    <w:rsid w:val="00C43F62"/>
    <w:rsid w:val="00C452F5"/>
    <w:rsid w:val="00C46555"/>
    <w:rsid w:val="00C46A5F"/>
    <w:rsid w:val="00C46B15"/>
    <w:rsid w:val="00C46F4F"/>
    <w:rsid w:val="00C46F7D"/>
    <w:rsid w:val="00C478A3"/>
    <w:rsid w:val="00C479B5"/>
    <w:rsid w:val="00C50242"/>
    <w:rsid w:val="00C5034D"/>
    <w:rsid w:val="00C5050E"/>
    <w:rsid w:val="00C50E99"/>
    <w:rsid w:val="00C5153E"/>
    <w:rsid w:val="00C516E0"/>
    <w:rsid w:val="00C51E83"/>
    <w:rsid w:val="00C5210F"/>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4EA2"/>
    <w:rsid w:val="00C651BD"/>
    <w:rsid w:val="00C654E0"/>
    <w:rsid w:val="00C67719"/>
    <w:rsid w:val="00C67EAB"/>
    <w:rsid w:val="00C70DFF"/>
    <w:rsid w:val="00C726D0"/>
    <w:rsid w:val="00C74FEE"/>
    <w:rsid w:val="00C75A6B"/>
    <w:rsid w:val="00C763B6"/>
    <w:rsid w:val="00C7644F"/>
    <w:rsid w:val="00C768F6"/>
    <w:rsid w:val="00C772CE"/>
    <w:rsid w:val="00C80073"/>
    <w:rsid w:val="00C805E7"/>
    <w:rsid w:val="00C80DEA"/>
    <w:rsid w:val="00C80ED7"/>
    <w:rsid w:val="00C820BD"/>
    <w:rsid w:val="00C832DC"/>
    <w:rsid w:val="00C8377F"/>
    <w:rsid w:val="00C83D54"/>
    <w:rsid w:val="00C852A9"/>
    <w:rsid w:val="00C8646D"/>
    <w:rsid w:val="00C864DD"/>
    <w:rsid w:val="00C876BC"/>
    <w:rsid w:val="00C90766"/>
    <w:rsid w:val="00C90C15"/>
    <w:rsid w:val="00C90D90"/>
    <w:rsid w:val="00C90E35"/>
    <w:rsid w:val="00C91DE3"/>
    <w:rsid w:val="00C91F5C"/>
    <w:rsid w:val="00C92127"/>
    <w:rsid w:val="00C92C7F"/>
    <w:rsid w:val="00C9369D"/>
    <w:rsid w:val="00C9383D"/>
    <w:rsid w:val="00C944FA"/>
    <w:rsid w:val="00C95854"/>
    <w:rsid w:val="00C959FD"/>
    <w:rsid w:val="00C95B84"/>
    <w:rsid w:val="00C95D24"/>
    <w:rsid w:val="00C95EFF"/>
    <w:rsid w:val="00C96228"/>
    <w:rsid w:val="00C96E6F"/>
    <w:rsid w:val="00C97872"/>
    <w:rsid w:val="00CA0532"/>
    <w:rsid w:val="00CA17DE"/>
    <w:rsid w:val="00CA211A"/>
    <w:rsid w:val="00CA221D"/>
    <w:rsid w:val="00CA2241"/>
    <w:rsid w:val="00CA3CDD"/>
    <w:rsid w:val="00CA403B"/>
    <w:rsid w:val="00CA45EB"/>
    <w:rsid w:val="00CA46C8"/>
    <w:rsid w:val="00CA505A"/>
    <w:rsid w:val="00CA59DD"/>
    <w:rsid w:val="00CA785F"/>
    <w:rsid w:val="00CA7965"/>
    <w:rsid w:val="00CA7F97"/>
    <w:rsid w:val="00CB008E"/>
    <w:rsid w:val="00CB01FA"/>
    <w:rsid w:val="00CB0737"/>
    <w:rsid w:val="00CB097A"/>
    <w:rsid w:val="00CB0E3E"/>
    <w:rsid w:val="00CB2429"/>
    <w:rsid w:val="00CB24A2"/>
    <w:rsid w:val="00CB26EC"/>
    <w:rsid w:val="00CB2881"/>
    <w:rsid w:val="00CB2C70"/>
    <w:rsid w:val="00CB2D2A"/>
    <w:rsid w:val="00CB4793"/>
    <w:rsid w:val="00CB5B1E"/>
    <w:rsid w:val="00CB5FFB"/>
    <w:rsid w:val="00CB787A"/>
    <w:rsid w:val="00CC0C4A"/>
    <w:rsid w:val="00CC12E2"/>
    <w:rsid w:val="00CC17F0"/>
    <w:rsid w:val="00CC1853"/>
    <w:rsid w:val="00CC1D13"/>
    <w:rsid w:val="00CC1FAE"/>
    <w:rsid w:val="00CC2724"/>
    <w:rsid w:val="00CC3A23"/>
    <w:rsid w:val="00CC3BD5"/>
    <w:rsid w:val="00CC3CD6"/>
    <w:rsid w:val="00CC426A"/>
    <w:rsid w:val="00CC4FBF"/>
    <w:rsid w:val="00CC50D9"/>
    <w:rsid w:val="00CC6D12"/>
    <w:rsid w:val="00CC70D9"/>
    <w:rsid w:val="00CC737C"/>
    <w:rsid w:val="00CC737E"/>
    <w:rsid w:val="00CD087D"/>
    <w:rsid w:val="00CD09DA"/>
    <w:rsid w:val="00CD0F5D"/>
    <w:rsid w:val="00CD1C0B"/>
    <w:rsid w:val="00CD239A"/>
    <w:rsid w:val="00CD252E"/>
    <w:rsid w:val="00CD3198"/>
    <w:rsid w:val="00CD349B"/>
    <w:rsid w:val="00CD3FA3"/>
    <w:rsid w:val="00CD469A"/>
    <w:rsid w:val="00CD4AAE"/>
    <w:rsid w:val="00CD5098"/>
    <w:rsid w:val="00CD5512"/>
    <w:rsid w:val="00CD5BCB"/>
    <w:rsid w:val="00CD6B7C"/>
    <w:rsid w:val="00CD6E3D"/>
    <w:rsid w:val="00CD71AB"/>
    <w:rsid w:val="00CD72C7"/>
    <w:rsid w:val="00CD7563"/>
    <w:rsid w:val="00CD76FE"/>
    <w:rsid w:val="00CD7958"/>
    <w:rsid w:val="00CE003C"/>
    <w:rsid w:val="00CE0109"/>
    <w:rsid w:val="00CE0943"/>
    <w:rsid w:val="00CE1FC5"/>
    <w:rsid w:val="00CE38D8"/>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56B"/>
    <w:rsid w:val="00CF3CD3"/>
    <w:rsid w:val="00CF4247"/>
    <w:rsid w:val="00CF4260"/>
    <w:rsid w:val="00CF5239"/>
    <w:rsid w:val="00CF5263"/>
    <w:rsid w:val="00CF5418"/>
    <w:rsid w:val="00CF5571"/>
    <w:rsid w:val="00CF5E61"/>
    <w:rsid w:val="00CF60B5"/>
    <w:rsid w:val="00CF740C"/>
    <w:rsid w:val="00CF76A6"/>
    <w:rsid w:val="00D004FA"/>
    <w:rsid w:val="00D01B21"/>
    <w:rsid w:val="00D01E2F"/>
    <w:rsid w:val="00D030B7"/>
    <w:rsid w:val="00D03102"/>
    <w:rsid w:val="00D03420"/>
    <w:rsid w:val="00D03727"/>
    <w:rsid w:val="00D0378A"/>
    <w:rsid w:val="00D03D32"/>
    <w:rsid w:val="00D04289"/>
    <w:rsid w:val="00D04E17"/>
    <w:rsid w:val="00D04EC1"/>
    <w:rsid w:val="00D05132"/>
    <w:rsid w:val="00D05787"/>
    <w:rsid w:val="00D05EA9"/>
    <w:rsid w:val="00D071F8"/>
    <w:rsid w:val="00D07252"/>
    <w:rsid w:val="00D072FF"/>
    <w:rsid w:val="00D074F4"/>
    <w:rsid w:val="00D07A40"/>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0C6"/>
    <w:rsid w:val="00D16326"/>
    <w:rsid w:val="00D16E87"/>
    <w:rsid w:val="00D17C6A"/>
    <w:rsid w:val="00D20B8B"/>
    <w:rsid w:val="00D2162C"/>
    <w:rsid w:val="00D21A3C"/>
    <w:rsid w:val="00D22212"/>
    <w:rsid w:val="00D233F1"/>
    <w:rsid w:val="00D24765"/>
    <w:rsid w:val="00D256F8"/>
    <w:rsid w:val="00D259EB"/>
    <w:rsid w:val="00D25AA0"/>
    <w:rsid w:val="00D2685C"/>
    <w:rsid w:val="00D26A3B"/>
    <w:rsid w:val="00D26AD0"/>
    <w:rsid w:val="00D302FD"/>
    <w:rsid w:val="00D3038A"/>
    <w:rsid w:val="00D3098D"/>
    <w:rsid w:val="00D31A02"/>
    <w:rsid w:val="00D32786"/>
    <w:rsid w:val="00D32A09"/>
    <w:rsid w:val="00D3323C"/>
    <w:rsid w:val="00D33456"/>
    <w:rsid w:val="00D3396F"/>
    <w:rsid w:val="00D33D4D"/>
    <w:rsid w:val="00D34A0B"/>
    <w:rsid w:val="00D34E28"/>
    <w:rsid w:val="00D35678"/>
    <w:rsid w:val="00D36015"/>
    <w:rsid w:val="00D36234"/>
    <w:rsid w:val="00D36371"/>
    <w:rsid w:val="00D3643C"/>
    <w:rsid w:val="00D41005"/>
    <w:rsid w:val="00D4136F"/>
    <w:rsid w:val="00D41CC4"/>
    <w:rsid w:val="00D424C0"/>
    <w:rsid w:val="00D42566"/>
    <w:rsid w:val="00D42C77"/>
    <w:rsid w:val="00D437D8"/>
    <w:rsid w:val="00D44994"/>
    <w:rsid w:val="00D44AEB"/>
    <w:rsid w:val="00D45C8D"/>
    <w:rsid w:val="00D45DF3"/>
    <w:rsid w:val="00D46174"/>
    <w:rsid w:val="00D47636"/>
    <w:rsid w:val="00D47DD0"/>
    <w:rsid w:val="00D50183"/>
    <w:rsid w:val="00D51D12"/>
    <w:rsid w:val="00D51EED"/>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D92"/>
    <w:rsid w:val="00D66E18"/>
    <w:rsid w:val="00D6734D"/>
    <w:rsid w:val="00D67733"/>
    <w:rsid w:val="00D67823"/>
    <w:rsid w:val="00D679CF"/>
    <w:rsid w:val="00D679D3"/>
    <w:rsid w:val="00D7012A"/>
    <w:rsid w:val="00D70A36"/>
    <w:rsid w:val="00D71294"/>
    <w:rsid w:val="00D71E7A"/>
    <w:rsid w:val="00D72104"/>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1CD4"/>
    <w:rsid w:val="00D82494"/>
    <w:rsid w:val="00D82E5F"/>
    <w:rsid w:val="00D82ECC"/>
    <w:rsid w:val="00D83898"/>
    <w:rsid w:val="00D83AE9"/>
    <w:rsid w:val="00D83F48"/>
    <w:rsid w:val="00D84266"/>
    <w:rsid w:val="00D84C46"/>
    <w:rsid w:val="00D857B8"/>
    <w:rsid w:val="00D85D1F"/>
    <w:rsid w:val="00D8626B"/>
    <w:rsid w:val="00D87175"/>
    <w:rsid w:val="00D87ABF"/>
    <w:rsid w:val="00D87BF8"/>
    <w:rsid w:val="00D87C75"/>
    <w:rsid w:val="00D90819"/>
    <w:rsid w:val="00D90CD3"/>
    <w:rsid w:val="00D90E2C"/>
    <w:rsid w:val="00D919E6"/>
    <w:rsid w:val="00D91BE1"/>
    <w:rsid w:val="00D92B24"/>
    <w:rsid w:val="00D92C29"/>
    <w:rsid w:val="00D934EF"/>
    <w:rsid w:val="00D936E2"/>
    <w:rsid w:val="00D93E49"/>
    <w:rsid w:val="00D9488B"/>
    <w:rsid w:val="00D94DF1"/>
    <w:rsid w:val="00D9503C"/>
    <w:rsid w:val="00D95104"/>
    <w:rsid w:val="00D95600"/>
    <w:rsid w:val="00D95900"/>
    <w:rsid w:val="00D9683C"/>
    <w:rsid w:val="00D977A0"/>
    <w:rsid w:val="00D97884"/>
    <w:rsid w:val="00D97C79"/>
    <w:rsid w:val="00D97F43"/>
    <w:rsid w:val="00DA0712"/>
    <w:rsid w:val="00DA0A7F"/>
    <w:rsid w:val="00DA19A2"/>
    <w:rsid w:val="00DA1C31"/>
    <w:rsid w:val="00DA20BC"/>
    <w:rsid w:val="00DA2575"/>
    <w:rsid w:val="00DA26BA"/>
    <w:rsid w:val="00DA272E"/>
    <w:rsid w:val="00DA2E9E"/>
    <w:rsid w:val="00DA2ED7"/>
    <w:rsid w:val="00DA3AB3"/>
    <w:rsid w:val="00DA3E7A"/>
    <w:rsid w:val="00DA3EF7"/>
    <w:rsid w:val="00DA430C"/>
    <w:rsid w:val="00DA45C5"/>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678"/>
    <w:rsid w:val="00DB18F8"/>
    <w:rsid w:val="00DB1F2A"/>
    <w:rsid w:val="00DB2175"/>
    <w:rsid w:val="00DB297F"/>
    <w:rsid w:val="00DB2C83"/>
    <w:rsid w:val="00DB3153"/>
    <w:rsid w:val="00DB317A"/>
    <w:rsid w:val="00DB3B82"/>
    <w:rsid w:val="00DB485D"/>
    <w:rsid w:val="00DB4C6E"/>
    <w:rsid w:val="00DB5293"/>
    <w:rsid w:val="00DB6ED8"/>
    <w:rsid w:val="00DB7EA8"/>
    <w:rsid w:val="00DC1301"/>
    <w:rsid w:val="00DC1327"/>
    <w:rsid w:val="00DC1350"/>
    <w:rsid w:val="00DC1518"/>
    <w:rsid w:val="00DC3237"/>
    <w:rsid w:val="00DC367A"/>
    <w:rsid w:val="00DC36F3"/>
    <w:rsid w:val="00DC41A4"/>
    <w:rsid w:val="00DC4C33"/>
    <w:rsid w:val="00DC52CD"/>
    <w:rsid w:val="00DC5672"/>
    <w:rsid w:val="00DC5726"/>
    <w:rsid w:val="00DC5839"/>
    <w:rsid w:val="00DC60A2"/>
    <w:rsid w:val="00DC6600"/>
    <w:rsid w:val="00DC67BD"/>
    <w:rsid w:val="00DC6924"/>
    <w:rsid w:val="00DC6B3A"/>
    <w:rsid w:val="00DC71F2"/>
    <w:rsid w:val="00DC7770"/>
    <w:rsid w:val="00DC7E52"/>
    <w:rsid w:val="00DD12C5"/>
    <w:rsid w:val="00DD2025"/>
    <w:rsid w:val="00DD219C"/>
    <w:rsid w:val="00DD22EA"/>
    <w:rsid w:val="00DD23A0"/>
    <w:rsid w:val="00DD2E74"/>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3407"/>
    <w:rsid w:val="00DE3979"/>
    <w:rsid w:val="00DE4EAA"/>
    <w:rsid w:val="00DE52E3"/>
    <w:rsid w:val="00DE6E64"/>
    <w:rsid w:val="00DE70CB"/>
    <w:rsid w:val="00DE7C00"/>
    <w:rsid w:val="00DF03E9"/>
    <w:rsid w:val="00DF03ED"/>
    <w:rsid w:val="00DF04EE"/>
    <w:rsid w:val="00DF0983"/>
    <w:rsid w:val="00DF0BF4"/>
    <w:rsid w:val="00DF10B2"/>
    <w:rsid w:val="00DF179D"/>
    <w:rsid w:val="00DF1E9C"/>
    <w:rsid w:val="00DF2048"/>
    <w:rsid w:val="00DF2168"/>
    <w:rsid w:val="00DF2D2C"/>
    <w:rsid w:val="00DF4572"/>
    <w:rsid w:val="00DF4658"/>
    <w:rsid w:val="00DF498C"/>
    <w:rsid w:val="00DF5A1C"/>
    <w:rsid w:val="00DF5AA2"/>
    <w:rsid w:val="00DF5C5B"/>
    <w:rsid w:val="00DF6C8B"/>
    <w:rsid w:val="00DF6F17"/>
    <w:rsid w:val="00DF6F28"/>
    <w:rsid w:val="00DF78FA"/>
    <w:rsid w:val="00DF7AE1"/>
    <w:rsid w:val="00E002F1"/>
    <w:rsid w:val="00E0082C"/>
    <w:rsid w:val="00E00F04"/>
    <w:rsid w:val="00E01280"/>
    <w:rsid w:val="00E01DAA"/>
    <w:rsid w:val="00E023E5"/>
    <w:rsid w:val="00E02432"/>
    <w:rsid w:val="00E0337E"/>
    <w:rsid w:val="00E037CC"/>
    <w:rsid w:val="00E04022"/>
    <w:rsid w:val="00E04DC9"/>
    <w:rsid w:val="00E06528"/>
    <w:rsid w:val="00E066DB"/>
    <w:rsid w:val="00E06BC9"/>
    <w:rsid w:val="00E07220"/>
    <w:rsid w:val="00E0728F"/>
    <w:rsid w:val="00E0749C"/>
    <w:rsid w:val="00E0755C"/>
    <w:rsid w:val="00E07679"/>
    <w:rsid w:val="00E076D3"/>
    <w:rsid w:val="00E112CA"/>
    <w:rsid w:val="00E11548"/>
    <w:rsid w:val="00E13D40"/>
    <w:rsid w:val="00E14A7E"/>
    <w:rsid w:val="00E14FDA"/>
    <w:rsid w:val="00E151E1"/>
    <w:rsid w:val="00E15AB0"/>
    <w:rsid w:val="00E16766"/>
    <w:rsid w:val="00E169E2"/>
    <w:rsid w:val="00E16DF4"/>
    <w:rsid w:val="00E170E6"/>
    <w:rsid w:val="00E17619"/>
    <w:rsid w:val="00E17805"/>
    <w:rsid w:val="00E17941"/>
    <w:rsid w:val="00E17CAC"/>
    <w:rsid w:val="00E20AD3"/>
    <w:rsid w:val="00E20F79"/>
    <w:rsid w:val="00E21278"/>
    <w:rsid w:val="00E2150A"/>
    <w:rsid w:val="00E21872"/>
    <w:rsid w:val="00E21AC0"/>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745"/>
    <w:rsid w:val="00E429ED"/>
    <w:rsid w:val="00E43F37"/>
    <w:rsid w:val="00E441E6"/>
    <w:rsid w:val="00E446A7"/>
    <w:rsid w:val="00E450ED"/>
    <w:rsid w:val="00E4592B"/>
    <w:rsid w:val="00E45C4B"/>
    <w:rsid w:val="00E46C47"/>
    <w:rsid w:val="00E46D4F"/>
    <w:rsid w:val="00E4765D"/>
    <w:rsid w:val="00E4791B"/>
    <w:rsid w:val="00E47A41"/>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6354"/>
    <w:rsid w:val="00E56C7A"/>
    <w:rsid w:val="00E57050"/>
    <w:rsid w:val="00E5733D"/>
    <w:rsid w:val="00E57613"/>
    <w:rsid w:val="00E57B3F"/>
    <w:rsid w:val="00E57EAC"/>
    <w:rsid w:val="00E604EF"/>
    <w:rsid w:val="00E61402"/>
    <w:rsid w:val="00E618CF"/>
    <w:rsid w:val="00E61CC0"/>
    <w:rsid w:val="00E6277B"/>
    <w:rsid w:val="00E630A4"/>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BC7"/>
    <w:rsid w:val="00E70F07"/>
    <w:rsid w:val="00E70FBC"/>
    <w:rsid w:val="00E72BDF"/>
    <w:rsid w:val="00E72C01"/>
    <w:rsid w:val="00E741AC"/>
    <w:rsid w:val="00E747AA"/>
    <w:rsid w:val="00E74F75"/>
    <w:rsid w:val="00E75174"/>
    <w:rsid w:val="00E759A7"/>
    <w:rsid w:val="00E75AB0"/>
    <w:rsid w:val="00E75EBA"/>
    <w:rsid w:val="00E763B4"/>
    <w:rsid w:val="00E77530"/>
    <w:rsid w:val="00E77848"/>
    <w:rsid w:val="00E779B3"/>
    <w:rsid w:val="00E804D2"/>
    <w:rsid w:val="00E80514"/>
    <w:rsid w:val="00E806DF"/>
    <w:rsid w:val="00E80E5B"/>
    <w:rsid w:val="00E81481"/>
    <w:rsid w:val="00E816C5"/>
    <w:rsid w:val="00E81CA5"/>
    <w:rsid w:val="00E81CE0"/>
    <w:rsid w:val="00E81E7C"/>
    <w:rsid w:val="00E82087"/>
    <w:rsid w:val="00E8224D"/>
    <w:rsid w:val="00E82391"/>
    <w:rsid w:val="00E823B0"/>
    <w:rsid w:val="00E84036"/>
    <w:rsid w:val="00E84142"/>
    <w:rsid w:val="00E844D8"/>
    <w:rsid w:val="00E84E5E"/>
    <w:rsid w:val="00E8519F"/>
    <w:rsid w:val="00E85387"/>
    <w:rsid w:val="00E85CC3"/>
    <w:rsid w:val="00E8644A"/>
    <w:rsid w:val="00E86AA6"/>
    <w:rsid w:val="00E870A9"/>
    <w:rsid w:val="00E90279"/>
    <w:rsid w:val="00E90635"/>
    <w:rsid w:val="00E909A1"/>
    <w:rsid w:val="00E90BFF"/>
    <w:rsid w:val="00E91671"/>
    <w:rsid w:val="00E91F04"/>
    <w:rsid w:val="00E91F35"/>
    <w:rsid w:val="00E9259E"/>
    <w:rsid w:val="00E95BA6"/>
    <w:rsid w:val="00E95DC2"/>
    <w:rsid w:val="00E9705E"/>
    <w:rsid w:val="00E97648"/>
    <w:rsid w:val="00EA07E9"/>
    <w:rsid w:val="00EA0BC4"/>
    <w:rsid w:val="00EA0E4A"/>
    <w:rsid w:val="00EA1A54"/>
    <w:rsid w:val="00EA2226"/>
    <w:rsid w:val="00EA2483"/>
    <w:rsid w:val="00EA26FC"/>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104F"/>
    <w:rsid w:val="00EB1B27"/>
    <w:rsid w:val="00EB1DA8"/>
    <w:rsid w:val="00EB28C3"/>
    <w:rsid w:val="00EB2D2E"/>
    <w:rsid w:val="00EB300E"/>
    <w:rsid w:val="00EB3244"/>
    <w:rsid w:val="00EB3A74"/>
    <w:rsid w:val="00EB4B75"/>
    <w:rsid w:val="00EB4CFF"/>
    <w:rsid w:val="00EB4E0F"/>
    <w:rsid w:val="00EB5074"/>
    <w:rsid w:val="00EB53A6"/>
    <w:rsid w:val="00EB5476"/>
    <w:rsid w:val="00EB5FB6"/>
    <w:rsid w:val="00EB5FF6"/>
    <w:rsid w:val="00EB68B1"/>
    <w:rsid w:val="00EB6B31"/>
    <w:rsid w:val="00EB70B0"/>
    <w:rsid w:val="00EB74F4"/>
    <w:rsid w:val="00EB7633"/>
    <w:rsid w:val="00EB7736"/>
    <w:rsid w:val="00EB7808"/>
    <w:rsid w:val="00EB7F5B"/>
    <w:rsid w:val="00EC0D61"/>
    <w:rsid w:val="00EC149F"/>
    <w:rsid w:val="00EC1DCD"/>
    <w:rsid w:val="00EC20A2"/>
    <w:rsid w:val="00EC2BF5"/>
    <w:rsid w:val="00EC2E2D"/>
    <w:rsid w:val="00EC363A"/>
    <w:rsid w:val="00EC462B"/>
    <w:rsid w:val="00EC4723"/>
    <w:rsid w:val="00EC56E0"/>
    <w:rsid w:val="00EC6057"/>
    <w:rsid w:val="00EC66F4"/>
    <w:rsid w:val="00EC6847"/>
    <w:rsid w:val="00EC6EB4"/>
    <w:rsid w:val="00EC7DB6"/>
    <w:rsid w:val="00ED1405"/>
    <w:rsid w:val="00ED162F"/>
    <w:rsid w:val="00ED1C9C"/>
    <w:rsid w:val="00ED23DC"/>
    <w:rsid w:val="00ED2869"/>
    <w:rsid w:val="00ED2AE0"/>
    <w:rsid w:val="00ED2E52"/>
    <w:rsid w:val="00ED3024"/>
    <w:rsid w:val="00ED31DB"/>
    <w:rsid w:val="00ED3C23"/>
    <w:rsid w:val="00ED3F4C"/>
    <w:rsid w:val="00ED45BC"/>
    <w:rsid w:val="00ED49B0"/>
    <w:rsid w:val="00ED5F9D"/>
    <w:rsid w:val="00ED5FE4"/>
    <w:rsid w:val="00ED67C3"/>
    <w:rsid w:val="00ED6FAD"/>
    <w:rsid w:val="00ED71C5"/>
    <w:rsid w:val="00ED7B18"/>
    <w:rsid w:val="00EE0114"/>
    <w:rsid w:val="00EE0CBF"/>
    <w:rsid w:val="00EE16FA"/>
    <w:rsid w:val="00EE1762"/>
    <w:rsid w:val="00EE18B9"/>
    <w:rsid w:val="00EE2304"/>
    <w:rsid w:val="00EE283A"/>
    <w:rsid w:val="00EE32CE"/>
    <w:rsid w:val="00EE3783"/>
    <w:rsid w:val="00EE3C42"/>
    <w:rsid w:val="00EE3D4F"/>
    <w:rsid w:val="00EE5303"/>
    <w:rsid w:val="00EE534D"/>
    <w:rsid w:val="00EE5560"/>
    <w:rsid w:val="00EE596F"/>
    <w:rsid w:val="00EE5AD0"/>
    <w:rsid w:val="00EE6ABC"/>
    <w:rsid w:val="00EE6F1E"/>
    <w:rsid w:val="00EE7D82"/>
    <w:rsid w:val="00EF0348"/>
    <w:rsid w:val="00EF0ADB"/>
    <w:rsid w:val="00EF1250"/>
    <w:rsid w:val="00EF1BFD"/>
    <w:rsid w:val="00EF1F9C"/>
    <w:rsid w:val="00EF21E0"/>
    <w:rsid w:val="00EF25AE"/>
    <w:rsid w:val="00EF25C1"/>
    <w:rsid w:val="00EF3A34"/>
    <w:rsid w:val="00EF4366"/>
    <w:rsid w:val="00EF47CC"/>
    <w:rsid w:val="00EF4CD6"/>
    <w:rsid w:val="00EF55A0"/>
    <w:rsid w:val="00EF5B69"/>
    <w:rsid w:val="00EF5F50"/>
    <w:rsid w:val="00EF63D1"/>
    <w:rsid w:val="00EF6513"/>
    <w:rsid w:val="00EF653D"/>
    <w:rsid w:val="00EF6683"/>
    <w:rsid w:val="00EF69BC"/>
    <w:rsid w:val="00EF6CAC"/>
    <w:rsid w:val="00EF7002"/>
    <w:rsid w:val="00EF712D"/>
    <w:rsid w:val="00EF765D"/>
    <w:rsid w:val="00EF769B"/>
    <w:rsid w:val="00EF7C38"/>
    <w:rsid w:val="00F00133"/>
    <w:rsid w:val="00F00441"/>
    <w:rsid w:val="00F02651"/>
    <w:rsid w:val="00F027BA"/>
    <w:rsid w:val="00F03124"/>
    <w:rsid w:val="00F03E79"/>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21A"/>
    <w:rsid w:val="00F16750"/>
    <w:rsid w:val="00F16BF2"/>
    <w:rsid w:val="00F17EAE"/>
    <w:rsid w:val="00F2117B"/>
    <w:rsid w:val="00F2135D"/>
    <w:rsid w:val="00F218D4"/>
    <w:rsid w:val="00F21E9A"/>
    <w:rsid w:val="00F2250A"/>
    <w:rsid w:val="00F22738"/>
    <w:rsid w:val="00F22840"/>
    <w:rsid w:val="00F23D19"/>
    <w:rsid w:val="00F245A3"/>
    <w:rsid w:val="00F24788"/>
    <w:rsid w:val="00F24DA7"/>
    <w:rsid w:val="00F25A20"/>
    <w:rsid w:val="00F26252"/>
    <w:rsid w:val="00F2640F"/>
    <w:rsid w:val="00F27414"/>
    <w:rsid w:val="00F27C34"/>
    <w:rsid w:val="00F27E46"/>
    <w:rsid w:val="00F301C2"/>
    <w:rsid w:val="00F302E1"/>
    <w:rsid w:val="00F3125E"/>
    <w:rsid w:val="00F31772"/>
    <w:rsid w:val="00F317A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7AF"/>
    <w:rsid w:val="00F36C5F"/>
    <w:rsid w:val="00F37259"/>
    <w:rsid w:val="00F400F2"/>
    <w:rsid w:val="00F4025D"/>
    <w:rsid w:val="00F40421"/>
    <w:rsid w:val="00F405A4"/>
    <w:rsid w:val="00F406F4"/>
    <w:rsid w:val="00F40F2E"/>
    <w:rsid w:val="00F41EFC"/>
    <w:rsid w:val="00F41F05"/>
    <w:rsid w:val="00F433BD"/>
    <w:rsid w:val="00F444ED"/>
    <w:rsid w:val="00F44EC5"/>
    <w:rsid w:val="00F459B7"/>
    <w:rsid w:val="00F470D6"/>
    <w:rsid w:val="00F47498"/>
    <w:rsid w:val="00F50EE9"/>
    <w:rsid w:val="00F512B2"/>
    <w:rsid w:val="00F5283D"/>
    <w:rsid w:val="00F52ABA"/>
    <w:rsid w:val="00F52BC7"/>
    <w:rsid w:val="00F52BE1"/>
    <w:rsid w:val="00F53BF4"/>
    <w:rsid w:val="00F541A5"/>
    <w:rsid w:val="00F54266"/>
    <w:rsid w:val="00F55043"/>
    <w:rsid w:val="00F559C5"/>
    <w:rsid w:val="00F55B69"/>
    <w:rsid w:val="00F5626D"/>
    <w:rsid w:val="00F56681"/>
    <w:rsid w:val="00F56D15"/>
    <w:rsid w:val="00F56DCF"/>
    <w:rsid w:val="00F57034"/>
    <w:rsid w:val="00F57B1F"/>
    <w:rsid w:val="00F60BE9"/>
    <w:rsid w:val="00F61FD8"/>
    <w:rsid w:val="00F62478"/>
    <w:rsid w:val="00F62DBF"/>
    <w:rsid w:val="00F641FC"/>
    <w:rsid w:val="00F647F7"/>
    <w:rsid w:val="00F64EAC"/>
    <w:rsid w:val="00F65303"/>
    <w:rsid w:val="00F6583C"/>
    <w:rsid w:val="00F6589A"/>
    <w:rsid w:val="00F6665C"/>
    <w:rsid w:val="00F66920"/>
    <w:rsid w:val="00F673EE"/>
    <w:rsid w:val="00F676DE"/>
    <w:rsid w:val="00F6783E"/>
    <w:rsid w:val="00F67867"/>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C1"/>
    <w:rsid w:val="00F779FD"/>
    <w:rsid w:val="00F800F5"/>
    <w:rsid w:val="00F80399"/>
    <w:rsid w:val="00F80549"/>
    <w:rsid w:val="00F80767"/>
    <w:rsid w:val="00F81299"/>
    <w:rsid w:val="00F812C8"/>
    <w:rsid w:val="00F8132D"/>
    <w:rsid w:val="00F818AE"/>
    <w:rsid w:val="00F819E1"/>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ADB"/>
    <w:rsid w:val="00F90E78"/>
    <w:rsid w:val="00F91209"/>
    <w:rsid w:val="00F9221F"/>
    <w:rsid w:val="00F92370"/>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3C"/>
    <w:rsid w:val="00F97B43"/>
    <w:rsid w:val="00FA07F8"/>
    <w:rsid w:val="00FA105C"/>
    <w:rsid w:val="00FA10BB"/>
    <w:rsid w:val="00FA1475"/>
    <w:rsid w:val="00FA148A"/>
    <w:rsid w:val="00FA1A0F"/>
    <w:rsid w:val="00FA26BA"/>
    <w:rsid w:val="00FA27C8"/>
    <w:rsid w:val="00FA2D22"/>
    <w:rsid w:val="00FA35E3"/>
    <w:rsid w:val="00FA3B76"/>
    <w:rsid w:val="00FA45EE"/>
    <w:rsid w:val="00FA4BFE"/>
    <w:rsid w:val="00FA4D66"/>
    <w:rsid w:val="00FA56AE"/>
    <w:rsid w:val="00FA5A4E"/>
    <w:rsid w:val="00FA5B6B"/>
    <w:rsid w:val="00FA6157"/>
    <w:rsid w:val="00FA63D8"/>
    <w:rsid w:val="00FA71F2"/>
    <w:rsid w:val="00FA7B10"/>
    <w:rsid w:val="00FB0082"/>
    <w:rsid w:val="00FB0243"/>
    <w:rsid w:val="00FB0AC3"/>
    <w:rsid w:val="00FB0AD9"/>
    <w:rsid w:val="00FB1527"/>
    <w:rsid w:val="00FB1D7A"/>
    <w:rsid w:val="00FB1E67"/>
    <w:rsid w:val="00FB203D"/>
    <w:rsid w:val="00FB2537"/>
    <w:rsid w:val="00FB31BD"/>
    <w:rsid w:val="00FB338E"/>
    <w:rsid w:val="00FB33DC"/>
    <w:rsid w:val="00FB4338"/>
    <w:rsid w:val="00FB477E"/>
    <w:rsid w:val="00FB494F"/>
    <w:rsid w:val="00FB4C2A"/>
    <w:rsid w:val="00FB4C9C"/>
    <w:rsid w:val="00FB5148"/>
    <w:rsid w:val="00FB52A7"/>
    <w:rsid w:val="00FB52DF"/>
    <w:rsid w:val="00FB570B"/>
    <w:rsid w:val="00FB6165"/>
    <w:rsid w:val="00FB71F1"/>
    <w:rsid w:val="00FB78E7"/>
    <w:rsid w:val="00FB7BC0"/>
    <w:rsid w:val="00FB7F98"/>
    <w:rsid w:val="00FC0150"/>
    <w:rsid w:val="00FC03AB"/>
    <w:rsid w:val="00FC195E"/>
    <w:rsid w:val="00FC223F"/>
    <w:rsid w:val="00FC26C3"/>
    <w:rsid w:val="00FC2E01"/>
    <w:rsid w:val="00FC34A3"/>
    <w:rsid w:val="00FC3981"/>
    <w:rsid w:val="00FC4668"/>
    <w:rsid w:val="00FC4729"/>
    <w:rsid w:val="00FC4A8C"/>
    <w:rsid w:val="00FC53DB"/>
    <w:rsid w:val="00FC57BE"/>
    <w:rsid w:val="00FC5ED5"/>
    <w:rsid w:val="00FC5FC2"/>
    <w:rsid w:val="00FC6177"/>
    <w:rsid w:val="00FC63D1"/>
    <w:rsid w:val="00FC7528"/>
    <w:rsid w:val="00FD0572"/>
    <w:rsid w:val="00FD1299"/>
    <w:rsid w:val="00FD1A97"/>
    <w:rsid w:val="00FD1B44"/>
    <w:rsid w:val="00FD2333"/>
    <w:rsid w:val="00FD25CF"/>
    <w:rsid w:val="00FD2D7B"/>
    <w:rsid w:val="00FD3027"/>
    <w:rsid w:val="00FD349D"/>
    <w:rsid w:val="00FD37F6"/>
    <w:rsid w:val="00FD4589"/>
    <w:rsid w:val="00FD45C8"/>
    <w:rsid w:val="00FD4608"/>
    <w:rsid w:val="00FD473E"/>
    <w:rsid w:val="00FD4808"/>
    <w:rsid w:val="00FD48A9"/>
    <w:rsid w:val="00FD5928"/>
    <w:rsid w:val="00FD66F4"/>
    <w:rsid w:val="00FD7DF9"/>
    <w:rsid w:val="00FD7FC9"/>
    <w:rsid w:val="00FE0564"/>
    <w:rsid w:val="00FE0A29"/>
    <w:rsid w:val="00FE0B51"/>
    <w:rsid w:val="00FE0B78"/>
    <w:rsid w:val="00FE0DCE"/>
    <w:rsid w:val="00FE0ED4"/>
    <w:rsid w:val="00FE1D96"/>
    <w:rsid w:val="00FE1EAB"/>
    <w:rsid w:val="00FE23ED"/>
    <w:rsid w:val="00FE2421"/>
    <w:rsid w:val="00FE284B"/>
    <w:rsid w:val="00FE3004"/>
    <w:rsid w:val="00FE3465"/>
    <w:rsid w:val="00FE35A6"/>
    <w:rsid w:val="00FE3CC4"/>
    <w:rsid w:val="00FE67CF"/>
    <w:rsid w:val="00FE6810"/>
    <w:rsid w:val="00FE6D20"/>
    <w:rsid w:val="00FE6FB9"/>
    <w:rsid w:val="00FE7549"/>
    <w:rsid w:val="00FE7737"/>
    <w:rsid w:val="00FE7BCC"/>
    <w:rsid w:val="00FE7CA0"/>
    <w:rsid w:val="00FF0832"/>
    <w:rsid w:val="00FF0B08"/>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character" w:styleId="UnresolvedMention">
    <w:name w:val="Unresolved Mention"/>
    <w:basedOn w:val="DefaultParagraphFont"/>
    <w:uiPriority w:val="99"/>
    <w:semiHidden/>
    <w:unhideWhenUsed/>
    <w:rsid w:val="003E3E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3E_Electronic_2022-10/INBOX/DRAFTS/FS_XRM/XRM_KI45_view_collection_summary_v1.docx"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15</cp:revision>
  <cp:lastPrinted>2007-06-18T22:08:00Z</cp:lastPrinted>
  <dcterms:created xsi:type="dcterms:W3CDTF">2022-09-26T17:58:00Z</dcterms:created>
  <dcterms:modified xsi:type="dcterms:W3CDTF">2022-09-29T00:33:00Z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